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4"/>
        <w:gridCol w:w="5070"/>
        <w:gridCol w:w="5529"/>
        <w:gridCol w:w="5670"/>
      </w:tblGrid>
      <w:tr w:rsidR="005979EB" w:rsidRPr="00A52E59" w14:paraId="1901C108" w14:textId="77777777" w:rsidTr="000212AA">
        <w:trPr>
          <w:tblHeader/>
        </w:trPr>
        <w:tc>
          <w:tcPr>
            <w:tcW w:w="5244" w:type="dxa"/>
            <w:tcBorders>
              <w:bottom w:val="single" w:sz="4" w:space="0" w:color="auto"/>
            </w:tcBorders>
            <w:shd w:val="clear" w:color="auto" w:fill="548DD4"/>
            <w:vAlign w:val="center"/>
          </w:tcPr>
          <w:p w14:paraId="0D6F6989" w14:textId="5F7CEF2A" w:rsidR="005979EB" w:rsidRPr="00A52E59" w:rsidRDefault="005979EB" w:rsidP="005979EB">
            <w:pPr>
              <w:jc w:val="center"/>
              <w:rPr>
                <w:rFonts w:ascii="Arial Narrow" w:hAnsi="Arial Narrow" w:cs="Arial"/>
                <w:sz w:val="20"/>
                <w:szCs w:val="20"/>
                <w:lang w:val="es-CR"/>
              </w:rPr>
            </w:pPr>
            <w:r w:rsidRPr="00A52E59">
              <w:rPr>
                <w:rFonts w:ascii="Arial Narrow" w:hAnsi="Arial Narrow" w:cs="Arial"/>
                <w:b/>
                <w:bCs/>
                <w:sz w:val="20"/>
                <w:szCs w:val="20"/>
              </w:rPr>
              <w:t>Texto enviado a consulta</w:t>
            </w:r>
          </w:p>
        </w:tc>
        <w:tc>
          <w:tcPr>
            <w:tcW w:w="5070" w:type="dxa"/>
            <w:tcBorders>
              <w:bottom w:val="single" w:sz="4" w:space="0" w:color="auto"/>
            </w:tcBorders>
            <w:shd w:val="clear" w:color="auto" w:fill="548DD4"/>
            <w:vAlign w:val="center"/>
          </w:tcPr>
          <w:p w14:paraId="06306857" w14:textId="77777777" w:rsidR="005979EB" w:rsidRDefault="005979EB" w:rsidP="005979EB">
            <w:pPr>
              <w:spacing w:after="0" w:line="240" w:lineRule="auto"/>
              <w:jc w:val="center"/>
              <w:rPr>
                <w:rFonts w:ascii="Arial Narrow" w:hAnsi="Arial Narrow" w:cs="Arial"/>
                <w:b/>
                <w:bCs/>
                <w:sz w:val="20"/>
                <w:szCs w:val="20"/>
              </w:rPr>
            </w:pPr>
          </w:p>
          <w:p w14:paraId="0A1F9498" w14:textId="77777777" w:rsidR="005979EB" w:rsidRDefault="005979EB" w:rsidP="005979EB">
            <w:pPr>
              <w:spacing w:after="0" w:line="240" w:lineRule="auto"/>
              <w:jc w:val="center"/>
              <w:rPr>
                <w:rFonts w:ascii="Arial Narrow" w:hAnsi="Arial Narrow" w:cs="Arial"/>
                <w:b/>
                <w:bCs/>
                <w:sz w:val="20"/>
                <w:szCs w:val="20"/>
              </w:rPr>
            </w:pPr>
            <w:r w:rsidRPr="00A52E59">
              <w:rPr>
                <w:rFonts w:ascii="Arial Narrow" w:hAnsi="Arial Narrow" w:cs="Arial"/>
                <w:b/>
                <w:bCs/>
                <w:sz w:val="20"/>
                <w:szCs w:val="20"/>
              </w:rPr>
              <w:t>Observaciones y comentarios de las entidades supervisadas</w:t>
            </w:r>
          </w:p>
          <w:p w14:paraId="78944D87" w14:textId="77777777" w:rsidR="005979EB" w:rsidRPr="00A52E59" w:rsidRDefault="005979EB" w:rsidP="005979EB">
            <w:pPr>
              <w:spacing w:after="0" w:line="240" w:lineRule="auto"/>
              <w:jc w:val="center"/>
              <w:rPr>
                <w:rFonts w:ascii="Arial Narrow" w:hAnsi="Arial Narrow" w:cs="Arial"/>
                <w:b/>
                <w:bCs/>
                <w:sz w:val="20"/>
                <w:szCs w:val="20"/>
              </w:rPr>
            </w:pPr>
          </w:p>
          <w:p w14:paraId="6C6F2ABA" w14:textId="77777777" w:rsidR="005979EB" w:rsidRPr="00A52E59" w:rsidRDefault="005979EB" w:rsidP="005979EB">
            <w:pPr>
              <w:jc w:val="center"/>
              <w:rPr>
                <w:rFonts w:ascii="Arial Narrow" w:hAnsi="Arial Narrow" w:cs="Arial"/>
                <w:sz w:val="20"/>
                <w:szCs w:val="20"/>
              </w:rPr>
            </w:pPr>
          </w:p>
        </w:tc>
        <w:tc>
          <w:tcPr>
            <w:tcW w:w="5529" w:type="dxa"/>
            <w:tcBorders>
              <w:bottom w:val="single" w:sz="4" w:space="0" w:color="auto"/>
            </w:tcBorders>
            <w:shd w:val="clear" w:color="auto" w:fill="548DD4"/>
            <w:vAlign w:val="center"/>
          </w:tcPr>
          <w:p w14:paraId="7FC716FB" w14:textId="77777777" w:rsidR="005979EB" w:rsidRPr="00A52E59" w:rsidRDefault="005979EB" w:rsidP="005979EB">
            <w:pPr>
              <w:jc w:val="center"/>
              <w:rPr>
                <w:rFonts w:ascii="Arial Narrow" w:hAnsi="Arial Narrow" w:cs="Arial"/>
                <w:sz w:val="20"/>
                <w:szCs w:val="20"/>
                <w:lang w:val="es-CR"/>
              </w:rPr>
            </w:pPr>
            <w:r w:rsidRPr="00A52E59">
              <w:rPr>
                <w:rFonts w:ascii="Arial Narrow" w:hAnsi="Arial Narrow" w:cs="Arial"/>
                <w:b/>
                <w:bCs/>
                <w:sz w:val="20"/>
                <w:szCs w:val="20"/>
              </w:rPr>
              <w:t>Comentarios Superintendencia</w:t>
            </w:r>
          </w:p>
        </w:tc>
        <w:tc>
          <w:tcPr>
            <w:tcW w:w="5670" w:type="dxa"/>
            <w:tcBorders>
              <w:bottom w:val="single" w:sz="4" w:space="0" w:color="auto"/>
            </w:tcBorders>
            <w:shd w:val="clear" w:color="auto" w:fill="548DD4"/>
            <w:vAlign w:val="center"/>
          </w:tcPr>
          <w:p w14:paraId="13C98D4D" w14:textId="77777777" w:rsidR="005979EB" w:rsidRPr="00A52E59" w:rsidRDefault="005979EB" w:rsidP="005979EB">
            <w:pPr>
              <w:spacing w:after="0" w:line="240" w:lineRule="auto"/>
              <w:jc w:val="center"/>
              <w:rPr>
                <w:rFonts w:ascii="Arial Narrow" w:hAnsi="Arial Narrow" w:cs="Arial"/>
                <w:b/>
                <w:bCs/>
                <w:sz w:val="20"/>
                <w:szCs w:val="20"/>
              </w:rPr>
            </w:pPr>
          </w:p>
          <w:p w14:paraId="363E8F07" w14:textId="77777777" w:rsidR="005979EB" w:rsidRPr="00A52E59" w:rsidRDefault="005979EB" w:rsidP="005979EB">
            <w:pPr>
              <w:spacing w:after="0" w:line="240" w:lineRule="auto"/>
              <w:jc w:val="center"/>
              <w:rPr>
                <w:rFonts w:ascii="Arial Narrow" w:hAnsi="Arial Narrow" w:cs="Arial"/>
                <w:b/>
                <w:bCs/>
                <w:sz w:val="20"/>
                <w:szCs w:val="20"/>
              </w:rPr>
            </w:pPr>
            <w:r w:rsidRPr="00A52E59">
              <w:rPr>
                <w:rFonts w:ascii="Arial Narrow" w:hAnsi="Arial Narrow" w:cs="Arial"/>
                <w:b/>
                <w:bCs/>
                <w:sz w:val="20"/>
                <w:szCs w:val="20"/>
              </w:rPr>
              <w:t>Texto Modificado</w:t>
            </w:r>
          </w:p>
        </w:tc>
      </w:tr>
      <w:tr w:rsidR="00C11089" w:rsidRPr="00A52E59" w14:paraId="1DEF19EA" w14:textId="77777777" w:rsidTr="001A15C6">
        <w:tc>
          <w:tcPr>
            <w:tcW w:w="5244" w:type="dxa"/>
            <w:shd w:val="clear" w:color="auto" w:fill="FFFFFF" w:themeFill="background1"/>
            <w:vAlign w:val="center"/>
          </w:tcPr>
          <w:p w14:paraId="6C5BCADB" w14:textId="49A69777" w:rsidR="00C11089" w:rsidRPr="00A52E59" w:rsidRDefault="00C11089" w:rsidP="00C11089">
            <w:pPr>
              <w:jc w:val="center"/>
              <w:rPr>
                <w:rFonts w:ascii="Arial Narrow" w:hAnsi="Arial Narrow" w:cs="Arial"/>
                <w:b/>
                <w:bCs/>
                <w:sz w:val="20"/>
                <w:szCs w:val="20"/>
              </w:rPr>
            </w:pPr>
            <w:bookmarkStart w:id="0" w:name="_Hlk522627517"/>
            <w:r w:rsidRPr="00D72C2B">
              <w:rPr>
                <w:rFonts w:ascii="Arial Narrow" w:hAnsi="Arial Narrow" w:cs="Arial"/>
                <w:b/>
                <w:sz w:val="20"/>
                <w:szCs w:val="20"/>
              </w:rPr>
              <w:t>Superintendencia de Pensiones, al ser las XXX horas y XXX minutos del día XXX de XXX de 201X.</w:t>
            </w:r>
          </w:p>
        </w:tc>
        <w:tc>
          <w:tcPr>
            <w:tcW w:w="5070" w:type="dxa"/>
            <w:shd w:val="clear" w:color="auto" w:fill="FFFFFF" w:themeFill="background1"/>
            <w:vAlign w:val="center"/>
          </w:tcPr>
          <w:p w14:paraId="18821C03" w14:textId="77777777" w:rsidR="00C11089" w:rsidRPr="00A52E59" w:rsidRDefault="00C11089" w:rsidP="00C11089">
            <w:pPr>
              <w:spacing w:after="0" w:line="240" w:lineRule="auto"/>
              <w:jc w:val="center"/>
              <w:rPr>
                <w:rFonts w:ascii="Arial Narrow" w:hAnsi="Arial Narrow" w:cs="Arial"/>
                <w:b/>
                <w:bCs/>
                <w:sz w:val="20"/>
                <w:szCs w:val="20"/>
              </w:rPr>
            </w:pPr>
          </w:p>
        </w:tc>
        <w:tc>
          <w:tcPr>
            <w:tcW w:w="5529" w:type="dxa"/>
            <w:shd w:val="clear" w:color="auto" w:fill="FFFFFF" w:themeFill="background1"/>
            <w:vAlign w:val="center"/>
          </w:tcPr>
          <w:p w14:paraId="52795AA8" w14:textId="77777777" w:rsidR="00C11089" w:rsidRPr="00A52E59" w:rsidRDefault="00C11089" w:rsidP="00C11089">
            <w:pPr>
              <w:jc w:val="center"/>
              <w:rPr>
                <w:rFonts w:ascii="Arial Narrow" w:hAnsi="Arial Narrow" w:cs="Arial"/>
                <w:b/>
                <w:bCs/>
                <w:sz w:val="20"/>
                <w:szCs w:val="20"/>
              </w:rPr>
            </w:pPr>
          </w:p>
        </w:tc>
        <w:tc>
          <w:tcPr>
            <w:tcW w:w="5670" w:type="dxa"/>
            <w:shd w:val="clear" w:color="auto" w:fill="FFFFFF" w:themeFill="background1"/>
            <w:vAlign w:val="center"/>
          </w:tcPr>
          <w:p w14:paraId="1497C862" w14:textId="5F87AA19" w:rsidR="00C11089" w:rsidRPr="00A52E59" w:rsidRDefault="00C11089" w:rsidP="00C11089">
            <w:pPr>
              <w:spacing w:after="0" w:line="240" w:lineRule="auto"/>
              <w:jc w:val="center"/>
              <w:rPr>
                <w:rFonts w:ascii="Arial Narrow" w:hAnsi="Arial Narrow" w:cs="Arial"/>
                <w:b/>
                <w:bCs/>
                <w:sz w:val="20"/>
                <w:szCs w:val="20"/>
              </w:rPr>
            </w:pPr>
            <w:r w:rsidRPr="00D72C2B">
              <w:rPr>
                <w:rFonts w:ascii="Arial Narrow" w:hAnsi="Arial Narrow" w:cs="Arial"/>
                <w:b/>
                <w:sz w:val="20"/>
                <w:szCs w:val="20"/>
              </w:rPr>
              <w:t>Superintendencia de Pensiones, al ser las XXX horas y XXX minutos del día XXX de XXX de 201X.</w:t>
            </w:r>
          </w:p>
        </w:tc>
      </w:tr>
      <w:tr w:rsidR="00C11089" w:rsidRPr="00A52E59" w14:paraId="58ED9AE1" w14:textId="77777777" w:rsidTr="001A15C6">
        <w:tc>
          <w:tcPr>
            <w:tcW w:w="5244" w:type="dxa"/>
            <w:shd w:val="clear" w:color="auto" w:fill="FFFFFF" w:themeFill="background1"/>
            <w:vAlign w:val="center"/>
          </w:tcPr>
          <w:p w14:paraId="69B3090A" w14:textId="77777777" w:rsidR="00C11089" w:rsidRPr="00F17C54" w:rsidRDefault="00C11089" w:rsidP="00C11089">
            <w:pPr>
              <w:jc w:val="center"/>
              <w:rPr>
                <w:rFonts w:ascii="Arial Narrow" w:eastAsiaTheme="majorEastAsia" w:hAnsi="Arial Narrow" w:cstheme="majorBidi"/>
                <w:b/>
                <w:bCs/>
                <w:i/>
                <w:iCs/>
                <w:snapToGrid w:val="0"/>
                <w:sz w:val="20"/>
                <w:szCs w:val="20"/>
                <w:lang w:val="es-CR"/>
              </w:rPr>
            </w:pPr>
            <w:r w:rsidRPr="00F17C54">
              <w:rPr>
                <w:rFonts w:ascii="Arial Narrow" w:eastAsiaTheme="majorEastAsia" w:hAnsi="Arial Narrow" w:cstheme="majorBidi"/>
                <w:b/>
                <w:bCs/>
                <w:i/>
                <w:iCs/>
                <w:snapToGrid w:val="0"/>
                <w:sz w:val="20"/>
                <w:szCs w:val="20"/>
                <w:lang w:val="es-CR"/>
              </w:rPr>
              <w:t>Capítulo VII. Sistema de Información Cualitativa Básica de Supervisados</w:t>
            </w:r>
          </w:p>
          <w:p w14:paraId="2ADAD8F6" w14:textId="77777777" w:rsidR="00C11089" w:rsidRPr="00F17C54" w:rsidRDefault="00C11089" w:rsidP="00C11089">
            <w:pPr>
              <w:jc w:val="center"/>
              <w:rPr>
                <w:rFonts w:ascii="Arial Narrow" w:hAnsi="Arial Narrow"/>
                <w:sz w:val="20"/>
                <w:szCs w:val="20"/>
                <w:lang w:val="es-CR"/>
              </w:rPr>
            </w:pPr>
          </w:p>
        </w:tc>
        <w:tc>
          <w:tcPr>
            <w:tcW w:w="5070" w:type="dxa"/>
            <w:shd w:val="clear" w:color="auto" w:fill="FFFFFF" w:themeFill="background1"/>
            <w:vAlign w:val="center"/>
          </w:tcPr>
          <w:p w14:paraId="28C20FE3" w14:textId="77777777" w:rsidR="00C11089" w:rsidRPr="00A52E59" w:rsidRDefault="00C11089" w:rsidP="00C11089">
            <w:pPr>
              <w:spacing w:after="0" w:line="240" w:lineRule="auto"/>
              <w:jc w:val="center"/>
              <w:rPr>
                <w:rFonts w:ascii="Arial Narrow" w:hAnsi="Arial Narrow" w:cs="Arial"/>
                <w:b/>
                <w:bCs/>
                <w:sz w:val="20"/>
                <w:szCs w:val="20"/>
              </w:rPr>
            </w:pPr>
          </w:p>
        </w:tc>
        <w:tc>
          <w:tcPr>
            <w:tcW w:w="5529" w:type="dxa"/>
            <w:shd w:val="clear" w:color="auto" w:fill="FFFFFF" w:themeFill="background1"/>
            <w:vAlign w:val="center"/>
          </w:tcPr>
          <w:p w14:paraId="37E84BFC" w14:textId="77777777" w:rsidR="00C11089" w:rsidRPr="00A52E59" w:rsidRDefault="00C11089" w:rsidP="00C11089">
            <w:pPr>
              <w:jc w:val="center"/>
              <w:rPr>
                <w:rFonts w:ascii="Arial Narrow" w:hAnsi="Arial Narrow" w:cs="Arial"/>
                <w:b/>
                <w:bCs/>
                <w:sz w:val="20"/>
                <w:szCs w:val="20"/>
              </w:rPr>
            </w:pPr>
          </w:p>
        </w:tc>
        <w:tc>
          <w:tcPr>
            <w:tcW w:w="5670" w:type="dxa"/>
            <w:shd w:val="clear" w:color="auto" w:fill="FFFFFF" w:themeFill="background1"/>
            <w:vAlign w:val="center"/>
          </w:tcPr>
          <w:p w14:paraId="72955D3E" w14:textId="77777777" w:rsidR="00C11089" w:rsidRPr="00F17C54" w:rsidRDefault="00C11089" w:rsidP="00C11089">
            <w:pPr>
              <w:jc w:val="center"/>
              <w:rPr>
                <w:rFonts w:ascii="Arial Narrow" w:eastAsiaTheme="majorEastAsia" w:hAnsi="Arial Narrow" w:cstheme="majorBidi"/>
                <w:b/>
                <w:bCs/>
                <w:i/>
                <w:iCs/>
                <w:snapToGrid w:val="0"/>
                <w:sz w:val="20"/>
                <w:szCs w:val="20"/>
                <w:lang w:val="es-CR"/>
              </w:rPr>
            </w:pPr>
            <w:r w:rsidRPr="00F17C54">
              <w:rPr>
                <w:rFonts w:ascii="Arial Narrow" w:eastAsiaTheme="majorEastAsia" w:hAnsi="Arial Narrow" w:cstheme="majorBidi"/>
                <w:b/>
                <w:bCs/>
                <w:i/>
                <w:iCs/>
                <w:snapToGrid w:val="0"/>
                <w:sz w:val="20"/>
                <w:szCs w:val="20"/>
                <w:lang w:val="es-CR"/>
              </w:rPr>
              <w:t>Capítulo VII. Sistema de Información Cualitativa Básica de Supervisados</w:t>
            </w:r>
          </w:p>
          <w:p w14:paraId="65B7D830" w14:textId="77777777" w:rsidR="00C11089" w:rsidRPr="00A52E59" w:rsidRDefault="00C11089" w:rsidP="00C11089">
            <w:pPr>
              <w:spacing w:after="0" w:line="240" w:lineRule="auto"/>
              <w:jc w:val="center"/>
              <w:rPr>
                <w:rFonts w:ascii="Arial Narrow" w:hAnsi="Arial Narrow" w:cs="Arial"/>
                <w:b/>
                <w:bCs/>
                <w:sz w:val="20"/>
                <w:szCs w:val="20"/>
              </w:rPr>
            </w:pPr>
          </w:p>
        </w:tc>
      </w:tr>
      <w:tr w:rsidR="00C11089" w:rsidRPr="00A52E59" w14:paraId="74BCF543" w14:textId="77777777" w:rsidTr="001A15C6">
        <w:tc>
          <w:tcPr>
            <w:tcW w:w="5244" w:type="dxa"/>
            <w:shd w:val="clear" w:color="auto" w:fill="FFFFFF" w:themeFill="background1"/>
            <w:vAlign w:val="center"/>
          </w:tcPr>
          <w:p w14:paraId="30E41910" w14:textId="26CD0BA8" w:rsidR="00C11089" w:rsidRPr="00D72C2B" w:rsidRDefault="00C11089" w:rsidP="00C11089">
            <w:pPr>
              <w:spacing w:after="214" w:line="259" w:lineRule="auto"/>
              <w:ind w:left="434" w:hanging="10"/>
              <w:jc w:val="center"/>
              <w:rPr>
                <w:rFonts w:ascii="Arial Narrow" w:eastAsia="Times New Roman" w:hAnsi="Arial Narrow"/>
                <w:b/>
                <w:color w:val="000000"/>
                <w:sz w:val="16"/>
                <w:szCs w:val="16"/>
                <w:lang w:val="es-CR" w:eastAsia="es-CR"/>
              </w:rPr>
            </w:pPr>
            <w:r w:rsidRPr="00D72C2B">
              <w:rPr>
                <w:rFonts w:ascii="Arial Narrow" w:eastAsia="Times New Roman" w:hAnsi="Arial Narrow"/>
                <w:b/>
                <w:color w:val="000000"/>
                <w:sz w:val="16"/>
                <w:szCs w:val="16"/>
                <w:lang w:val="es-CR" w:eastAsia="es-CR"/>
              </w:rPr>
              <w:t>Considerando que,</w:t>
            </w:r>
          </w:p>
          <w:p w14:paraId="39A25AA6" w14:textId="2E1554C5" w:rsidR="00C11089" w:rsidRPr="00210DD7" w:rsidRDefault="00C11089" w:rsidP="00C11089">
            <w:pPr>
              <w:pStyle w:val="Prrafodelista"/>
              <w:ind w:left="0"/>
              <w:rPr>
                <w:rFonts w:ascii="Arial Narrow" w:eastAsia="Times New Roman" w:hAnsi="Arial Narrow"/>
                <w:color w:val="000000"/>
                <w:sz w:val="16"/>
                <w:szCs w:val="16"/>
                <w:lang w:eastAsia="es-CR"/>
              </w:rPr>
            </w:pPr>
            <w:r w:rsidRPr="00210DD7">
              <w:rPr>
                <w:rFonts w:ascii="Arial Narrow" w:eastAsia="Times New Roman" w:hAnsi="Arial Narrow"/>
                <w:color w:val="000000"/>
                <w:sz w:val="16"/>
                <w:szCs w:val="16"/>
                <w:lang w:eastAsia="es-CR"/>
              </w:rPr>
              <w:t xml:space="preserve">1. </w:t>
            </w:r>
            <w:r w:rsidRPr="006E3241">
              <w:rPr>
                <w:rFonts w:ascii="Arial Narrow" w:eastAsia="Times New Roman" w:hAnsi="Arial Narrow"/>
                <w:color w:val="000000"/>
                <w:sz w:val="16"/>
                <w:szCs w:val="16"/>
                <w:lang w:eastAsia="es-CR"/>
              </w:rPr>
              <w:t>De conformidad con el inciso f) del artículo 38 de la Ley N°7523, Régimen Privado de Pensiones Complementarias,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roofErr w:type="gramStart"/>
            <w:r w:rsidRPr="006E3241">
              <w:rPr>
                <w:rFonts w:ascii="Arial Narrow" w:eastAsia="Times New Roman" w:hAnsi="Arial Narrow"/>
                <w:color w:val="000000"/>
                <w:sz w:val="16"/>
                <w:szCs w:val="16"/>
                <w:lang w:eastAsia="es-CR"/>
              </w:rPr>
              <w:t>).</w:t>
            </w:r>
            <w:r w:rsidRPr="00210DD7">
              <w:rPr>
                <w:rFonts w:ascii="Arial Narrow" w:eastAsia="Times New Roman" w:hAnsi="Arial Narrow"/>
                <w:color w:val="000000"/>
                <w:sz w:val="16"/>
                <w:szCs w:val="16"/>
                <w:lang w:eastAsia="es-CR"/>
              </w:rPr>
              <w:t>.</w:t>
            </w:r>
            <w:proofErr w:type="gramEnd"/>
          </w:p>
          <w:p w14:paraId="2E5B83BB" w14:textId="442B17F2" w:rsidR="00C11089" w:rsidRPr="00210DD7" w:rsidRDefault="00C11089" w:rsidP="00C11089">
            <w:pPr>
              <w:spacing w:after="0" w:line="240" w:lineRule="auto"/>
              <w:ind w:right="338"/>
              <w:jc w:val="both"/>
              <w:rPr>
                <w:rFonts w:ascii="Arial Narrow" w:hAnsi="Arial Narrow" w:cs="Arial"/>
                <w:bCs/>
                <w:sz w:val="16"/>
                <w:szCs w:val="16"/>
                <w:lang w:val="es-CR"/>
              </w:rPr>
            </w:pPr>
          </w:p>
        </w:tc>
        <w:tc>
          <w:tcPr>
            <w:tcW w:w="5070" w:type="dxa"/>
            <w:shd w:val="clear" w:color="auto" w:fill="FFFFFF" w:themeFill="background1"/>
            <w:vAlign w:val="center"/>
          </w:tcPr>
          <w:p w14:paraId="07D9562F" w14:textId="77777777" w:rsidR="00C11089" w:rsidRPr="00A52E59" w:rsidRDefault="00C11089" w:rsidP="00C11089">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37CBF3DC" w14:textId="77777777" w:rsidR="00C11089" w:rsidRPr="00A52E59" w:rsidRDefault="00C11089" w:rsidP="00C11089">
            <w:pPr>
              <w:jc w:val="both"/>
              <w:rPr>
                <w:rFonts w:ascii="Arial Narrow" w:hAnsi="Arial Narrow" w:cs="Arial"/>
                <w:b/>
                <w:bCs/>
                <w:sz w:val="20"/>
                <w:szCs w:val="20"/>
              </w:rPr>
            </w:pPr>
          </w:p>
        </w:tc>
        <w:tc>
          <w:tcPr>
            <w:tcW w:w="5670" w:type="dxa"/>
            <w:shd w:val="clear" w:color="auto" w:fill="FFFFFF" w:themeFill="background1"/>
            <w:vAlign w:val="center"/>
          </w:tcPr>
          <w:p w14:paraId="6726FD65" w14:textId="77777777" w:rsidR="00C11089" w:rsidRPr="00D72C2B" w:rsidRDefault="00C11089" w:rsidP="00C11089">
            <w:pPr>
              <w:spacing w:after="214" w:line="259" w:lineRule="auto"/>
              <w:ind w:left="434" w:hanging="10"/>
              <w:jc w:val="center"/>
              <w:rPr>
                <w:rFonts w:ascii="Arial Narrow" w:eastAsia="Times New Roman" w:hAnsi="Arial Narrow"/>
                <w:b/>
                <w:color w:val="000000"/>
                <w:sz w:val="16"/>
                <w:szCs w:val="16"/>
                <w:lang w:val="es-CR" w:eastAsia="es-CR"/>
              </w:rPr>
            </w:pPr>
            <w:r w:rsidRPr="00D72C2B">
              <w:rPr>
                <w:rFonts w:ascii="Arial Narrow" w:eastAsia="Times New Roman" w:hAnsi="Arial Narrow"/>
                <w:b/>
                <w:color w:val="000000"/>
                <w:sz w:val="16"/>
                <w:szCs w:val="16"/>
                <w:lang w:val="es-CR" w:eastAsia="es-CR"/>
              </w:rPr>
              <w:t>Considerando que,</w:t>
            </w:r>
          </w:p>
          <w:p w14:paraId="5DD3FEDB" w14:textId="77777777" w:rsidR="00C11089" w:rsidRPr="00210DD7" w:rsidRDefault="00C11089" w:rsidP="00C11089">
            <w:pPr>
              <w:pStyle w:val="Prrafodelista"/>
              <w:ind w:left="0"/>
              <w:rPr>
                <w:rFonts w:ascii="Arial Narrow" w:eastAsia="Times New Roman" w:hAnsi="Arial Narrow"/>
                <w:color w:val="000000"/>
                <w:sz w:val="16"/>
                <w:szCs w:val="16"/>
                <w:lang w:eastAsia="es-CR"/>
              </w:rPr>
            </w:pPr>
            <w:r w:rsidRPr="00210DD7">
              <w:rPr>
                <w:rFonts w:ascii="Arial Narrow" w:eastAsia="Times New Roman" w:hAnsi="Arial Narrow"/>
                <w:color w:val="000000"/>
                <w:sz w:val="16"/>
                <w:szCs w:val="16"/>
                <w:lang w:eastAsia="es-CR"/>
              </w:rPr>
              <w:t xml:space="preserve">1. </w:t>
            </w:r>
            <w:r w:rsidRPr="006E3241">
              <w:rPr>
                <w:rFonts w:ascii="Arial Narrow" w:eastAsia="Times New Roman" w:hAnsi="Arial Narrow"/>
                <w:color w:val="000000"/>
                <w:sz w:val="16"/>
                <w:szCs w:val="16"/>
                <w:lang w:eastAsia="es-CR"/>
              </w:rPr>
              <w:t>De conformidad con el inciso f) del artículo 38 de la Ley N°7523, Régimen Privado de Pensiones Complementarias, corresponde al Superintendente de Pensiones adoptar todas las acciones necesarias para el cumplimiento efectivo de las funciones de autorización, regulación, supervisión y fiscalización establecidas en la ley y la normativa emitida por el Consejo Nacional de Supervisión del Sistema Financiero (CONASSIF</w:t>
            </w:r>
            <w:proofErr w:type="gramStart"/>
            <w:r w:rsidRPr="006E3241">
              <w:rPr>
                <w:rFonts w:ascii="Arial Narrow" w:eastAsia="Times New Roman" w:hAnsi="Arial Narrow"/>
                <w:color w:val="000000"/>
                <w:sz w:val="16"/>
                <w:szCs w:val="16"/>
                <w:lang w:eastAsia="es-CR"/>
              </w:rPr>
              <w:t>).</w:t>
            </w:r>
            <w:r w:rsidRPr="00210DD7">
              <w:rPr>
                <w:rFonts w:ascii="Arial Narrow" w:eastAsia="Times New Roman" w:hAnsi="Arial Narrow"/>
                <w:color w:val="000000"/>
                <w:sz w:val="16"/>
                <w:szCs w:val="16"/>
                <w:lang w:eastAsia="es-CR"/>
              </w:rPr>
              <w:t>.</w:t>
            </w:r>
            <w:proofErr w:type="gramEnd"/>
          </w:p>
          <w:p w14:paraId="26570DE6" w14:textId="77777777" w:rsidR="00C11089" w:rsidRPr="00A52E59" w:rsidRDefault="00C11089" w:rsidP="00C11089">
            <w:pPr>
              <w:spacing w:after="0" w:line="240" w:lineRule="auto"/>
              <w:jc w:val="both"/>
              <w:rPr>
                <w:rFonts w:ascii="Arial Narrow" w:hAnsi="Arial Narrow" w:cs="Arial"/>
                <w:b/>
                <w:bCs/>
                <w:sz w:val="20"/>
                <w:szCs w:val="20"/>
              </w:rPr>
            </w:pPr>
          </w:p>
        </w:tc>
      </w:tr>
      <w:bookmarkEnd w:id="0"/>
      <w:tr w:rsidR="00C11089" w:rsidRPr="00A52E59" w14:paraId="161F0E55" w14:textId="77777777" w:rsidTr="001A15C6">
        <w:tc>
          <w:tcPr>
            <w:tcW w:w="5244" w:type="dxa"/>
            <w:shd w:val="clear" w:color="auto" w:fill="FFFFFF" w:themeFill="background1"/>
            <w:vAlign w:val="center"/>
          </w:tcPr>
          <w:p w14:paraId="2D503CF4" w14:textId="4142BAD4" w:rsidR="00C11089" w:rsidRDefault="00C11089" w:rsidP="00C11089">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2. </w:t>
            </w:r>
            <w:r w:rsidRPr="006E3241">
              <w:rPr>
                <w:rFonts w:ascii="Arial Narrow" w:hAnsi="Arial Narrow" w:cs="Arial"/>
                <w:bCs/>
                <w:sz w:val="16"/>
                <w:szCs w:val="16"/>
                <w:lang w:val="es-CR"/>
              </w:rPr>
              <w:t>El inciso r) del artículo anteriormente indicado establece, además, como una de las atribuciones del Superintendente, exigir a los entes supervisados, “…el suministro de la información necesaria para los afiliados y dictar normas específicas sobre el contenido, la forma y la periodicidad con que las entidades supervisadas deben proporcionar a la Superintendencia, al afiliado y al público, información sobre su situación jurídica, económica y financiera, sobre las características y los costos de sus servicios, las operaciones activas y pasivas y cualquier otra información que considere de importancia; todo con el fin de que exista información suficiente y confiable sobre la situación de las entidades supervisadas.”</w:t>
            </w:r>
          </w:p>
          <w:p w14:paraId="785B506B" w14:textId="752C48FF" w:rsidR="00C11089" w:rsidRPr="00831426" w:rsidRDefault="00C11089" w:rsidP="00C11089">
            <w:pPr>
              <w:jc w:val="both"/>
              <w:rPr>
                <w:rFonts w:ascii="Arial Narrow" w:hAnsi="Arial Narrow" w:cs="Arial"/>
                <w:bCs/>
                <w:sz w:val="16"/>
                <w:szCs w:val="16"/>
                <w:lang w:val="es-CR"/>
              </w:rPr>
            </w:pPr>
            <w:r w:rsidRPr="006E3241">
              <w:rPr>
                <w:rFonts w:ascii="Arial Narrow" w:hAnsi="Arial Narrow" w:cs="Arial"/>
                <w:bCs/>
                <w:sz w:val="16"/>
                <w:szCs w:val="16"/>
                <w:lang w:val="es-CR"/>
              </w:rPr>
              <w:t>Correlativamente, el inciso g) del artículo 42 de la Ley de Protección al Trabajador, establece que constituye una obligación de las entidades autorizadas suministrar a la Superintendencia de Pensiones la información que esta requiera, dentro del plazo y condiciones dispuestos al efecto.</w:t>
            </w:r>
          </w:p>
        </w:tc>
        <w:tc>
          <w:tcPr>
            <w:tcW w:w="5070" w:type="dxa"/>
            <w:shd w:val="clear" w:color="auto" w:fill="FFFFFF" w:themeFill="background1"/>
            <w:vAlign w:val="center"/>
          </w:tcPr>
          <w:p w14:paraId="62292044" w14:textId="77777777" w:rsidR="00C11089" w:rsidRPr="00A52E59" w:rsidRDefault="00C11089" w:rsidP="00C11089">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5EC7B33B" w14:textId="77777777" w:rsidR="00C11089" w:rsidRPr="00A52E59" w:rsidRDefault="00C11089" w:rsidP="00C11089">
            <w:pPr>
              <w:jc w:val="both"/>
              <w:rPr>
                <w:rFonts w:ascii="Arial Narrow" w:hAnsi="Arial Narrow" w:cs="Arial"/>
                <w:b/>
                <w:bCs/>
                <w:sz w:val="20"/>
                <w:szCs w:val="20"/>
              </w:rPr>
            </w:pPr>
          </w:p>
        </w:tc>
        <w:tc>
          <w:tcPr>
            <w:tcW w:w="5670" w:type="dxa"/>
            <w:shd w:val="clear" w:color="auto" w:fill="FFFFFF" w:themeFill="background1"/>
            <w:vAlign w:val="center"/>
          </w:tcPr>
          <w:p w14:paraId="28E4F85E" w14:textId="77777777" w:rsidR="00C11089" w:rsidRDefault="00C11089" w:rsidP="00C11089">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2. </w:t>
            </w:r>
            <w:r w:rsidRPr="006E3241">
              <w:rPr>
                <w:rFonts w:ascii="Arial Narrow" w:hAnsi="Arial Narrow" w:cs="Arial"/>
                <w:bCs/>
                <w:sz w:val="16"/>
                <w:szCs w:val="16"/>
                <w:lang w:val="es-CR"/>
              </w:rPr>
              <w:t>El inciso r) del artículo anteriormente indicado establece, además, como una de las atribuciones del Superintendente, exigir a los entes supervisados, “…el suministro de la información necesaria para los afiliados y dictar normas específicas sobre el contenido, la forma y la periodicidad con que las entidades supervisadas deben proporcionar a la Superintendencia, al afiliado y al público, información sobre su situación jurídica, económica y financiera, sobre las características y los costos de sus servicios, las operaciones activas y pasivas y cualquier otra información que considere de importancia; todo con el fin de que exista información suficiente y confiable sobre la situación de las entidades supervisadas.”</w:t>
            </w:r>
          </w:p>
          <w:p w14:paraId="2E33D92B" w14:textId="7318FBB2" w:rsidR="00C11089" w:rsidRPr="00A52E59" w:rsidRDefault="00C11089" w:rsidP="00C11089">
            <w:pPr>
              <w:spacing w:after="0" w:line="240" w:lineRule="auto"/>
              <w:jc w:val="both"/>
              <w:rPr>
                <w:rFonts w:ascii="Arial Narrow" w:hAnsi="Arial Narrow" w:cs="Arial"/>
                <w:b/>
                <w:bCs/>
                <w:sz w:val="20"/>
                <w:szCs w:val="20"/>
              </w:rPr>
            </w:pPr>
            <w:r w:rsidRPr="006E3241">
              <w:rPr>
                <w:rFonts w:ascii="Arial Narrow" w:hAnsi="Arial Narrow" w:cs="Arial"/>
                <w:bCs/>
                <w:sz w:val="16"/>
                <w:szCs w:val="16"/>
                <w:lang w:val="es-CR"/>
              </w:rPr>
              <w:t>Correlativamente, el inciso g) del artículo 42 de la Ley de Protección al Trabajador, establece que constituye una obligación de las entidades autorizadas suministrar a la Superintendencia de Pensiones la información que esta requiera, dentro del plazo y condiciones dispuestos al efecto.</w:t>
            </w:r>
          </w:p>
        </w:tc>
      </w:tr>
      <w:tr w:rsidR="00C11089" w:rsidRPr="00A52E59" w14:paraId="49922AA1" w14:textId="77777777" w:rsidTr="001A15C6">
        <w:tc>
          <w:tcPr>
            <w:tcW w:w="5244" w:type="dxa"/>
            <w:shd w:val="clear" w:color="auto" w:fill="FFFFFF" w:themeFill="background1"/>
            <w:vAlign w:val="center"/>
          </w:tcPr>
          <w:p w14:paraId="40757FD6" w14:textId="280EED22" w:rsidR="00C11089" w:rsidRPr="00210DD7" w:rsidRDefault="00C11089" w:rsidP="00C11089">
            <w:pPr>
              <w:jc w:val="both"/>
              <w:rPr>
                <w:rFonts w:ascii="Arial Narrow" w:hAnsi="Arial Narrow" w:cs="Arial"/>
                <w:b/>
                <w:bCs/>
                <w:sz w:val="16"/>
                <w:szCs w:val="16"/>
              </w:rPr>
            </w:pPr>
            <w:r w:rsidRPr="00210DD7">
              <w:rPr>
                <w:rFonts w:ascii="Arial Narrow" w:hAnsi="Arial Narrow" w:cs="Arial"/>
                <w:bCs/>
                <w:sz w:val="16"/>
                <w:szCs w:val="16"/>
              </w:rPr>
              <w:t xml:space="preserve">3. </w:t>
            </w:r>
            <w:r w:rsidRPr="00831426">
              <w:rPr>
                <w:rFonts w:ascii="Arial Narrow" w:hAnsi="Arial Narrow" w:cs="Arial"/>
                <w:bCs/>
                <w:sz w:val="16"/>
                <w:szCs w:val="16"/>
              </w:rPr>
              <w:t>El Manual de Información de los Regímenes Colectivos establece las instrucciones y procedimientos necesarios para el suministro de la información que deben enviar a la Superintendencia de Pensiones las entidades autorizadas que administran los fondos de pensiones y de capitalización laboral</w:t>
            </w:r>
            <w:r w:rsidRPr="00210DD7">
              <w:rPr>
                <w:rFonts w:ascii="Arial Narrow" w:hAnsi="Arial Narrow" w:cs="Arial"/>
                <w:bCs/>
                <w:sz w:val="16"/>
                <w:szCs w:val="16"/>
              </w:rPr>
              <w:t>.</w:t>
            </w:r>
            <w:r w:rsidRPr="00210DD7">
              <w:rPr>
                <w:rFonts w:ascii="Arial Narrow" w:hAnsi="Arial Narrow" w:cs="Arial"/>
                <w:b/>
                <w:bCs/>
                <w:sz w:val="16"/>
                <w:szCs w:val="16"/>
              </w:rPr>
              <w:t xml:space="preserve">  </w:t>
            </w:r>
          </w:p>
        </w:tc>
        <w:tc>
          <w:tcPr>
            <w:tcW w:w="5070" w:type="dxa"/>
            <w:shd w:val="clear" w:color="auto" w:fill="FFFFFF" w:themeFill="background1"/>
            <w:vAlign w:val="center"/>
          </w:tcPr>
          <w:p w14:paraId="76B60DFB" w14:textId="77777777" w:rsidR="00C11089" w:rsidRPr="00A52E59" w:rsidRDefault="00C11089" w:rsidP="00C11089">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41433CD6" w14:textId="77777777" w:rsidR="00C11089" w:rsidRPr="00A52E59" w:rsidRDefault="00C11089" w:rsidP="00C11089">
            <w:pPr>
              <w:jc w:val="both"/>
              <w:rPr>
                <w:rFonts w:ascii="Arial Narrow" w:hAnsi="Arial Narrow" w:cs="Arial"/>
                <w:b/>
                <w:bCs/>
                <w:sz w:val="20"/>
                <w:szCs w:val="20"/>
              </w:rPr>
            </w:pPr>
          </w:p>
        </w:tc>
        <w:tc>
          <w:tcPr>
            <w:tcW w:w="5670" w:type="dxa"/>
            <w:shd w:val="clear" w:color="auto" w:fill="FFFFFF" w:themeFill="background1"/>
            <w:vAlign w:val="center"/>
          </w:tcPr>
          <w:p w14:paraId="4B81B1E3" w14:textId="207CDBCB" w:rsidR="00C11089" w:rsidRPr="00A52E59" w:rsidRDefault="00C11089" w:rsidP="00C11089">
            <w:pPr>
              <w:spacing w:after="0" w:line="240" w:lineRule="auto"/>
              <w:jc w:val="both"/>
              <w:rPr>
                <w:rFonts w:ascii="Arial Narrow" w:hAnsi="Arial Narrow" w:cs="Arial"/>
                <w:b/>
                <w:bCs/>
                <w:sz w:val="20"/>
                <w:szCs w:val="20"/>
              </w:rPr>
            </w:pPr>
            <w:r w:rsidRPr="00210DD7">
              <w:rPr>
                <w:rFonts w:ascii="Arial Narrow" w:hAnsi="Arial Narrow" w:cs="Arial"/>
                <w:bCs/>
                <w:sz w:val="16"/>
                <w:szCs w:val="16"/>
              </w:rPr>
              <w:t xml:space="preserve">3. </w:t>
            </w:r>
            <w:r w:rsidRPr="00831426">
              <w:rPr>
                <w:rFonts w:ascii="Arial Narrow" w:hAnsi="Arial Narrow" w:cs="Arial"/>
                <w:bCs/>
                <w:sz w:val="16"/>
                <w:szCs w:val="16"/>
              </w:rPr>
              <w:t>El Manual de Información de los Regímenes Colectivos establece las instrucciones y procedimientos necesarios para el suministro de la información que deben enviar a la Superintendencia de Pensiones las entidades autorizadas que administran los fondos de pensiones y de capitalización laboral</w:t>
            </w:r>
            <w:r w:rsidRPr="00210DD7">
              <w:rPr>
                <w:rFonts w:ascii="Arial Narrow" w:hAnsi="Arial Narrow" w:cs="Arial"/>
                <w:bCs/>
                <w:sz w:val="16"/>
                <w:szCs w:val="16"/>
              </w:rPr>
              <w:t>.</w:t>
            </w:r>
            <w:r w:rsidRPr="00210DD7">
              <w:rPr>
                <w:rFonts w:ascii="Arial Narrow" w:hAnsi="Arial Narrow" w:cs="Arial"/>
                <w:b/>
                <w:bCs/>
                <w:sz w:val="16"/>
                <w:szCs w:val="16"/>
              </w:rPr>
              <w:t xml:space="preserve">  </w:t>
            </w:r>
          </w:p>
        </w:tc>
      </w:tr>
      <w:tr w:rsidR="00C11089" w:rsidRPr="00A52E59" w14:paraId="02E9D9EF" w14:textId="77777777" w:rsidTr="001A15C6">
        <w:tc>
          <w:tcPr>
            <w:tcW w:w="5244" w:type="dxa"/>
            <w:shd w:val="clear" w:color="auto" w:fill="FFFFFF" w:themeFill="background1"/>
            <w:vAlign w:val="center"/>
          </w:tcPr>
          <w:p w14:paraId="36B8BDA5" w14:textId="6FECA16B" w:rsidR="00C11089" w:rsidRPr="00831426" w:rsidRDefault="00C11089" w:rsidP="00C11089">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4. </w:t>
            </w:r>
            <w:r w:rsidRPr="00831426">
              <w:rPr>
                <w:rFonts w:ascii="Arial Narrow" w:hAnsi="Arial Narrow" w:cs="Arial"/>
                <w:bCs/>
                <w:sz w:val="16"/>
                <w:szCs w:val="16"/>
                <w:lang w:val="es-CR"/>
              </w:rPr>
              <w:t>El Capítulo V, “Sistema de Información Cualitativa Básica de Supervisados”; acápite primero, “Introducción” del “Manual de Información de los Regímenes Colectivos”, en lo que interesa, señala</w:t>
            </w:r>
            <w:r w:rsidRPr="00210DD7">
              <w:rPr>
                <w:rFonts w:ascii="Arial Narrow" w:hAnsi="Arial Narrow" w:cs="Arial"/>
                <w:bCs/>
                <w:sz w:val="16"/>
                <w:szCs w:val="16"/>
                <w:lang w:val="es-CR"/>
              </w:rPr>
              <w:t>:</w:t>
            </w:r>
            <w:r>
              <w:rPr>
                <w:rFonts w:ascii="Arial Narrow" w:hAnsi="Arial Narrow" w:cs="Arial"/>
                <w:bCs/>
                <w:sz w:val="16"/>
                <w:szCs w:val="16"/>
                <w:lang w:val="es-CR"/>
              </w:rPr>
              <w:t xml:space="preserve"> </w:t>
            </w:r>
            <w:r w:rsidRPr="00831426">
              <w:rPr>
                <w:rFonts w:ascii="Arial Narrow" w:hAnsi="Arial Narrow" w:cs="Arial"/>
                <w:bCs/>
                <w:sz w:val="16"/>
                <w:szCs w:val="16"/>
                <w:lang w:val="es-CR"/>
              </w:rPr>
              <w:t>“Introducción</w:t>
            </w:r>
          </w:p>
          <w:p w14:paraId="6716B3C1" w14:textId="6850459F" w:rsidR="00C11089"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En este capítulo se detallan los requerimientos para el suministro de información de las entidades supervisadas.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tblGrid>
            <w:tr w:rsidR="00C11089" w:rsidRPr="00831426" w14:paraId="7E215B77" w14:textId="77777777" w:rsidTr="00746AD8">
              <w:trPr>
                <w:trHeight w:val="93"/>
                <w:jc w:val="center"/>
              </w:trPr>
              <w:tc>
                <w:tcPr>
                  <w:tcW w:w="3831" w:type="dxa"/>
                  <w:shd w:val="clear" w:color="auto" w:fill="F2F2F2" w:themeFill="background1" w:themeFillShade="F2"/>
                  <w:vAlign w:val="center"/>
                </w:tcPr>
                <w:p w14:paraId="727A84A4" w14:textId="77777777" w:rsidR="00C11089" w:rsidRPr="00831426" w:rsidRDefault="00C11089" w:rsidP="00C11089">
                  <w:pPr>
                    <w:pStyle w:val="Default"/>
                    <w:jc w:val="center"/>
                    <w:rPr>
                      <w:rFonts w:ascii="Arial Narrow" w:hAnsi="Arial Narrow"/>
                      <w:b/>
                      <w:bCs/>
                      <w:sz w:val="16"/>
                      <w:szCs w:val="16"/>
                    </w:rPr>
                  </w:pPr>
                </w:p>
                <w:p w14:paraId="613F6BFB" w14:textId="77777777" w:rsidR="00C11089" w:rsidRPr="00831426" w:rsidRDefault="00C11089" w:rsidP="00C11089">
                  <w:pPr>
                    <w:pStyle w:val="Default"/>
                    <w:jc w:val="center"/>
                    <w:rPr>
                      <w:rFonts w:ascii="Arial Narrow" w:hAnsi="Arial Narrow"/>
                      <w:b/>
                      <w:bCs/>
                      <w:sz w:val="16"/>
                      <w:szCs w:val="16"/>
                    </w:rPr>
                  </w:pPr>
                  <w:r w:rsidRPr="00831426">
                    <w:rPr>
                      <w:rFonts w:ascii="Arial Narrow" w:hAnsi="Arial Narrow"/>
                      <w:b/>
                      <w:bCs/>
                      <w:sz w:val="16"/>
                      <w:szCs w:val="16"/>
                    </w:rPr>
                    <w:t>CONTENIDO</w:t>
                  </w:r>
                </w:p>
                <w:p w14:paraId="591E654F" w14:textId="77777777" w:rsidR="00C11089" w:rsidRPr="00831426" w:rsidRDefault="00C11089" w:rsidP="00C11089">
                  <w:pPr>
                    <w:pStyle w:val="Default"/>
                    <w:jc w:val="center"/>
                    <w:rPr>
                      <w:rFonts w:ascii="Arial Narrow" w:hAnsi="Arial Narrow"/>
                      <w:sz w:val="16"/>
                      <w:szCs w:val="16"/>
                    </w:rPr>
                  </w:pPr>
                </w:p>
              </w:tc>
            </w:tr>
            <w:tr w:rsidR="00C11089" w:rsidRPr="00831426" w14:paraId="16BB8329" w14:textId="77777777" w:rsidTr="00746AD8">
              <w:trPr>
                <w:trHeight w:val="93"/>
                <w:jc w:val="center"/>
              </w:trPr>
              <w:tc>
                <w:tcPr>
                  <w:tcW w:w="3831" w:type="dxa"/>
                </w:tcPr>
                <w:p w14:paraId="60BEE747"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Datos Generales de las entidades </w:t>
                  </w:r>
                </w:p>
              </w:tc>
            </w:tr>
            <w:tr w:rsidR="00C11089" w:rsidRPr="00831426" w14:paraId="4375BB5D" w14:textId="77777777" w:rsidTr="00746AD8">
              <w:trPr>
                <w:trHeight w:val="93"/>
                <w:jc w:val="center"/>
              </w:trPr>
              <w:tc>
                <w:tcPr>
                  <w:tcW w:w="3831" w:type="dxa"/>
                </w:tcPr>
                <w:p w14:paraId="32A372BE"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Empresas que prestan servicio a la entidad </w:t>
                  </w:r>
                </w:p>
              </w:tc>
            </w:tr>
            <w:tr w:rsidR="00C11089" w:rsidRPr="00831426" w14:paraId="5617B994" w14:textId="77777777" w:rsidTr="00746AD8">
              <w:trPr>
                <w:trHeight w:val="93"/>
                <w:jc w:val="center"/>
              </w:trPr>
              <w:tc>
                <w:tcPr>
                  <w:tcW w:w="3831" w:type="dxa"/>
                </w:tcPr>
                <w:p w14:paraId="16A1BE8C"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Puestos del régimen </w:t>
                  </w:r>
                </w:p>
              </w:tc>
            </w:tr>
            <w:tr w:rsidR="00C11089" w:rsidRPr="00831426" w14:paraId="4FFF96BE" w14:textId="77777777" w:rsidTr="00746AD8">
              <w:trPr>
                <w:trHeight w:val="93"/>
                <w:jc w:val="center"/>
              </w:trPr>
              <w:tc>
                <w:tcPr>
                  <w:tcW w:w="3831" w:type="dxa"/>
                </w:tcPr>
                <w:p w14:paraId="67374FDC"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Órgano de Dirección </w:t>
                  </w:r>
                </w:p>
              </w:tc>
            </w:tr>
            <w:tr w:rsidR="00C11089" w:rsidRPr="00831426" w14:paraId="08F806BE" w14:textId="77777777" w:rsidTr="00746AD8">
              <w:trPr>
                <w:trHeight w:val="93"/>
                <w:jc w:val="center"/>
              </w:trPr>
              <w:tc>
                <w:tcPr>
                  <w:tcW w:w="3831" w:type="dxa"/>
                </w:tcPr>
                <w:p w14:paraId="1B46DF7A"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Comités </w:t>
                  </w:r>
                </w:p>
              </w:tc>
            </w:tr>
            <w:tr w:rsidR="00C11089" w:rsidRPr="00831426" w14:paraId="37040F75" w14:textId="77777777" w:rsidTr="00746AD8">
              <w:trPr>
                <w:trHeight w:val="93"/>
                <w:jc w:val="center"/>
              </w:trPr>
              <w:tc>
                <w:tcPr>
                  <w:tcW w:w="3831" w:type="dxa"/>
                </w:tcPr>
                <w:p w14:paraId="2E275C13"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Auditores externos </w:t>
                  </w:r>
                </w:p>
              </w:tc>
            </w:tr>
            <w:tr w:rsidR="00C11089" w:rsidRPr="00831426" w14:paraId="5868945B" w14:textId="77777777" w:rsidTr="00746AD8">
              <w:trPr>
                <w:trHeight w:val="93"/>
                <w:jc w:val="center"/>
              </w:trPr>
              <w:tc>
                <w:tcPr>
                  <w:tcW w:w="3831" w:type="dxa"/>
                </w:tcPr>
                <w:p w14:paraId="31D1CB14"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Políticas del Régimen </w:t>
                  </w:r>
                </w:p>
              </w:tc>
            </w:tr>
            <w:tr w:rsidR="00C11089" w:rsidRPr="00831426" w14:paraId="71A43A8A" w14:textId="77777777" w:rsidTr="00746AD8">
              <w:trPr>
                <w:trHeight w:val="93"/>
                <w:jc w:val="center"/>
              </w:trPr>
              <w:tc>
                <w:tcPr>
                  <w:tcW w:w="3831" w:type="dxa"/>
                </w:tcPr>
                <w:p w14:paraId="3F105BF2"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Metodologías de Valoración </w:t>
                  </w:r>
                </w:p>
              </w:tc>
            </w:tr>
            <w:tr w:rsidR="00C11089" w:rsidRPr="00831426" w14:paraId="30614971" w14:textId="77777777" w:rsidTr="00746AD8">
              <w:trPr>
                <w:trHeight w:val="93"/>
                <w:jc w:val="center"/>
              </w:trPr>
              <w:tc>
                <w:tcPr>
                  <w:tcW w:w="3831" w:type="dxa"/>
                </w:tcPr>
                <w:p w14:paraId="4466A1FD"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Contratos de servicios recibidos </w:t>
                  </w:r>
                </w:p>
              </w:tc>
            </w:tr>
            <w:tr w:rsidR="00C11089" w:rsidRPr="00831426" w14:paraId="26261EF1" w14:textId="77777777" w:rsidTr="00746AD8">
              <w:trPr>
                <w:trHeight w:val="93"/>
                <w:jc w:val="center"/>
              </w:trPr>
              <w:tc>
                <w:tcPr>
                  <w:tcW w:w="3831" w:type="dxa"/>
                </w:tcPr>
                <w:p w14:paraId="1F4B486C"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Estructura organizacional de la entidad </w:t>
                  </w:r>
                </w:p>
              </w:tc>
            </w:tr>
            <w:tr w:rsidR="00C11089" w:rsidRPr="00831426" w14:paraId="39A90241" w14:textId="77777777" w:rsidTr="00746AD8">
              <w:trPr>
                <w:trHeight w:val="93"/>
                <w:jc w:val="center"/>
              </w:trPr>
              <w:tc>
                <w:tcPr>
                  <w:tcW w:w="3831" w:type="dxa"/>
                </w:tcPr>
                <w:p w14:paraId="1F7DD6E0"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Estudios Actuariales </w:t>
                  </w:r>
                </w:p>
              </w:tc>
            </w:tr>
          </w:tbl>
          <w:p w14:paraId="6DE2EF4F" w14:textId="77777777" w:rsidR="00C11089" w:rsidRPr="00210DD7" w:rsidRDefault="00C11089" w:rsidP="00C11089">
            <w:pPr>
              <w:jc w:val="both"/>
              <w:rPr>
                <w:rFonts w:ascii="Arial Narrow" w:hAnsi="Arial Narrow" w:cs="Arial"/>
                <w:bCs/>
                <w:sz w:val="16"/>
                <w:szCs w:val="16"/>
                <w:lang w:val="es-CR"/>
              </w:rPr>
            </w:pPr>
          </w:p>
          <w:p w14:paraId="68F671C4"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lastRenderedPageBreak/>
              <w:t>La carga inicial de esta información ha sido ingresada por funcionarios de esta Superintendencia con base en las comunicaciones que oportunamente han sido recibidas por las entidades supervisadas. Posteriormente, las entidades deben validar la información incluida en la carga inicial y mantenerla actualizada en el Sistema cada vez que ocurra un cambio en los datos, respetando los plazos establecidos en la normativa vigente para su comunicación.</w:t>
            </w:r>
          </w:p>
          <w:p w14:paraId="51776A75"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Asimismo, para los casos en que la normativa vigente así lo requiera, debe informar a esta Superintendencia mediante oficio de los cambios realizados con la información de respaldo respectiva, hasta tanto se realicen las modificaciones a la misma y se les comunique a las entidades supervisadas.</w:t>
            </w:r>
          </w:p>
          <w:p w14:paraId="6D3BE6D0"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w:t>
            </w:r>
          </w:p>
          <w:p w14:paraId="077A422D" w14:textId="6E6B6403" w:rsidR="00C11089" w:rsidRPr="00210DD7"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Colateralmente, el Capítulo V, “Sistema de Información Cualitativa Básica de Supervisados”; acápite segundo, “Definición de los datos de las entidades” del “Manual de Información de los Regímenes Colectivos”, en lo que resulta pertinente, establece como tipos de datos, y sus correspondientes estructuras de registros, el Órgano de Dirección; Integrantes</w:t>
            </w:r>
            <w:r>
              <w:rPr>
                <w:rFonts w:ascii="Arial Narrow" w:hAnsi="Arial Narrow" w:cs="Arial"/>
                <w:bCs/>
                <w:sz w:val="16"/>
                <w:szCs w:val="16"/>
                <w:lang w:val="es-CR"/>
              </w:rPr>
              <w:t xml:space="preserve"> de Comité y Auditores externos.</w:t>
            </w:r>
          </w:p>
        </w:tc>
        <w:tc>
          <w:tcPr>
            <w:tcW w:w="5070" w:type="dxa"/>
            <w:shd w:val="clear" w:color="auto" w:fill="FFFFFF" w:themeFill="background1"/>
            <w:vAlign w:val="center"/>
          </w:tcPr>
          <w:p w14:paraId="78496A19" w14:textId="77777777" w:rsidR="00C11089" w:rsidRPr="00A52E59" w:rsidRDefault="00C11089" w:rsidP="00C11089">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3378324D" w14:textId="77777777" w:rsidR="00C11089" w:rsidRPr="00A52E59" w:rsidRDefault="00C11089" w:rsidP="00C11089">
            <w:pPr>
              <w:jc w:val="both"/>
              <w:rPr>
                <w:rFonts w:ascii="Arial Narrow" w:hAnsi="Arial Narrow" w:cs="Arial"/>
                <w:b/>
                <w:bCs/>
                <w:sz w:val="20"/>
                <w:szCs w:val="20"/>
              </w:rPr>
            </w:pPr>
          </w:p>
        </w:tc>
        <w:tc>
          <w:tcPr>
            <w:tcW w:w="5670" w:type="dxa"/>
            <w:shd w:val="clear" w:color="auto" w:fill="FFFFFF" w:themeFill="background1"/>
            <w:vAlign w:val="center"/>
          </w:tcPr>
          <w:p w14:paraId="7108C599" w14:textId="77777777" w:rsidR="00C11089" w:rsidRPr="00831426" w:rsidRDefault="00C11089" w:rsidP="00C11089">
            <w:pPr>
              <w:jc w:val="both"/>
              <w:rPr>
                <w:rFonts w:ascii="Arial Narrow" w:hAnsi="Arial Narrow" w:cs="Arial"/>
                <w:bCs/>
                <w:sz w:val="16"/>
                <w:szCs w:val="16"/>
                <w:lang w:val="es-CR"/>
              </w:rPr>
            </w:pPr>
            <w:r w:rsidRPr="00210DD7">
              <w:rPr>
                <w:rFonts w:ascii="Arial Narrow" w:hAnsi="Arial Narrow" w:cs="Arial"/>
                <w:bCs/>
                <w:sz w:val="16"/>
                <w:szCs w:val="16"/>
                <w:lang w:val="es-CR"/>
              </w:rPr>
              <w:t xml:space="preserve">4. </w:t>
            </w:r>
            <w:r w:rsidRPr="00831426">
              <w:rPr>
                <w:rFonts w:ascii="Arial Narrow" w:hAnsi="Arial Narrow" w:cs="Arial"/>
                <w:bCs/>
                <w:sz w:val="16"/>
                <w:szCs w:val="16"/>
                <w:lang w:val="es-CR"/>
              </w:rPr>
              <w:t>El Capítulo V, “Sistema de Información Cualitativa Básica de Supervisados”; acápite primero, “Introducción” del “Manual de Información de los Regímenes Colectivos”, en lo que interesa, señala</w:t>
            </w:r>
            <w:r w:rsidRPr="00210DD7">
              <w:rPr>
                <w:rFonts w:ascii="Arial Narrow" w:hAnsi="Arial Narrow" w:cs="Arial"/>
                <w:bCs/>
                <w:sz w:val="16"/>
                <w:szCs w:val="16"/>
                <w:lang w:val="es-CR"/>
              </w:rPr>
              <w:t>:</w:t>
            </w:r>
            <w:r>
              <w:rPr>
                <w:rFonts w:ascii="Arial Narrow" w:hAnsi="Arial Narrow" w:cs="Arial"/>
                <w:bCs/>
                <w:sz w:val="16"/>
                <w:szCs w:val="16"/>
                <w:lang w:val="es-CR"/>
              </w:rPr>
              <w:t xml:space="preserve"> </w:t>
            </w:r>
            <w:r w:rsidRPr="00831426">
              <w:rPr>
                <w:rFonts w:ascii="Arial Narrow" w:hAnsi="Arial Narrow" w:cs="Arial"/>
                <w:bCs/>
                <w:sz w:val="16"/>
                <w:szCs w:val="16"/>
                <w:lang w:val="es-CR"/>
              </w:rPr>
              <w:t>“Introducción</w:t>
            </w:r>
          </w:p>
          <w:p w14:paraId="78916A07" w14:textId="77777777" w:rsidR="00C11089"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En este capítulo se detallan los requerimientos para el suministro de información de las entidades supervisadas.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31"/>
            </w:tblGrid>
            <w:tr w:rsidR="00C11089" w:rsidRPr="00831426" w14:paraId="779890BF" w14:textId="77777777" w:rsidTr="00746AD8">
              <w:trPr>
                <w:trHeight w:val="93"/>
                <w:jc w:val="center"/>
              </w:trPr>
              <w:tc>
                <w:tcPr>
                  <w:tcW w:w="3831" w:type="dxa"/>
                  <w:shd w:val="clear" w:color="auto" w:fill="F2F2F2" w:themeFill="background1" w:themeFillShade="F2"/>
                  <w:vAlign w:val="center"/>
                </w:tcPr>
                <w:p w14:paraId="7D9D7AA9" w14:textId="77777777" w:rsidR="00C11089" w:rsidRPr="00831426" w:rsidRDefault="00C11089" w:rsidP="00C11089">
                  <w:pPr>
                    <w:pStyle w:val="Default"/>
                    <w:jc w:val="center"/>
                    <w:rPr>
                      <w:rFonts w:ascii="Arial Narrow" w:hAnsi="Arial Narrow"/>
                      <w:b/>
                      <w:bCs/>
                      <w:sz w:val="16"/>
                      <w:szCs w:val="16"/>
                    </w:rPr>
                  </w:pPr>
                </w:p>
                <w:p w14:paraId="1D77A9CC" w14:textId="77777777" w:rsidR="00C11089" w:rsidRPr="00831426" w:rsidRDefault="00C11089" w:rsidP="00C11089">
                  <w:pPr>
                    <w:pStyle w:val="Default"/>
                    <w:jc w:val="center"/>
                    <w:rPr>
                      <w:rFonts w:ascii="Arial Narrow" w:hAnsi="Arial Narrow"/>
                      <w:b/>
                      <w:bCs/>
                      <w:sz w:val="16"/>
                      <w:szCs w:val="16"/>
                    </w:rPr>
                  </w:pPr>
                  <w:r w:rsidRPr="00831426">
                    <w:rPr>
                      <w:rFonts w:ascii="Arial Narrow" w:hAnsi="Arial Narrow"/>
                      <w:b/>
                      <w:bCs/>
                      <w:sz w:val="16"/>
                      <w:szCs w:val="16"/>
                    </w:rPr>
                    <w:t>CONTENIDO</w:t>
                  </w:r>
                </w:p>
                <w:p w14:paraId="12B9A917" w14:textId="77777777" w:rsidR="00C11089" w:rsidRPr="00831426" w:rsidRDefault="00C11089" w:rsidP="00C11089">
                  <w:pPr>
                    <w:pStyle w:val="Default"/>
                    <w:jc w:val="center"/>
                    <w:rPr>
                      <w:rFonts w:ascii="Arial Narrow" w:hAnsi="Arial Narrow"/>
                      <w:sz w:val="16"/>
                      <w:szCs w:val="16"/>
                    </w:rPr>
                  </w:pPr>
                </w:p>
              </w:tc>
            </w:tr>
            <w:tr w:rsidR="00C11089" w:rsidRPr="00831426" w14:paraId="20BE7C8D" w14:textId="77777777" w:rsidTr="00746AD8">
              <w:trPr>
                <w:trHeight w:val="93"/>
                <w:jc w:val="center"/>
              </w:trPr>
              <w:tc>
                <w:tcPr>
                  <w:tcW w:w="3831" w:type="dxa"/>
                </w:tcPr>
                <w:p w14:paraId="32F5F4D6"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Datos Generales de las entidades </w:t>
                  </w:r>
                </w:p>
              </w:tc>
            </w:tr>
            <w:tr w:rsidR="00C11089" w:rsidRPr="00831426" w14:paraId="5AC239A2" w14:textId="77777777" w:rsidTr="00746AD8">
              <w:trPr>
                <w:trHeight w:val="93"/>
                <w:jc w:val="center"/>
              </w:trPr>
              <w:tc>
                <w:tcPr>
                  <w:tcW w:w="3831" w:type="dxa"/>
                </w:tcPr>
                <w:p w14:paraId="46BCF9A6"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Empresas que prestan servicio a la entidad </w:t>
                  </w:r>
                </w:p>
              </w:tc>
            </w:tr>
            <w:tr w:rsidR="00C11089" w:rsidRPr="00831426" w14:paraId="2936CA9F" w14:textId="77777777" w:rsidTr="00746AD8">
              <w:trPr>
                <w:trHeight w:val="93"/>
                <w:jc w:val="center"/>
              </w:trPr>
              <w:tc>
                <w:tcPr>
                  <w:tcW w:w="3831" w:type="dxa"/>
                </w:tcPr>
                <w:p w14:paraId="6829DE01"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Puestos del régimen </w:t>
                  </w:r>
                </w:p>
              </w:tc>
            </w:tr>
            <w:tr w:rsidR="00C11089" w:rsidRPr="00831426" w14:paraId="68EA7690" w14:textId="77777777" w:rsidTr="00746AD8">
              <w:trPr>
                <w:trHeight w:val="93"/>
                <w:jc w:val="center"/>
              </w:trPr>
              <w:tc>
                <w:tcPr>
                  <w:tcW w:w="3831" w:type="dxa"/>
                </w:tcPr>
                <w:p w14:paraId="3607EBB6"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Órgano de Dirección </w:t>
                  </w:r>
                </w:p>
              </w:tc>
            </w:tr>
            <w:tr w:rsidR="00C11089" w:rsidRPr="00831426" w14:paraId="18A9C87C" w14:textId="77777777" w:rsidTr="00746AD8">
              <w:trPr>
                <w:trHeight w:val="93"/>
                <w:jc w:val="center"/>
              </w:trPr>
              <w:tc>
                <w:tcPr>
                  <w:tcW w:w="3831" w:type="dxa"/>
                </w:tcPr>
                <w:p w14:paraId="05D35D2A"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Comités </w:t>
                  </w:r>
                </w:p>
              </w:tc>
            </w:tr>
            <w:tr w:rsidR="00C11089" w:rsidRPr="00831426" w14:paraId="0B9C4E65" w14:textId="77777777" w:rsidTr="00746AD8">
              <w:trPr>
                <w:trHeight w:val="93"/>
                <w:jc w:val="center"/>
              </w:trPr>
              <w:tc>
                <w:tcPr>
                  <w:tcW w:w="3831" w:type="dxa"/>
                </w:tcPr>
                <w:p w14:paraId="447D07AD"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Auditores externos </w:t>
                  </w:r>
                </w:p>
              </w:tc>
            </w:tr>
            <w:tr w:rsidR="00C11089" w:rsidRPr="00831426" w14:paraId="4A156CDF" w14:textId="77777777" w:rsidTr="00746AD8">
              <w:trPr>
                <w:trHeight w:val="93"/>
                <w:jc w:val="center"/>
              </w:trPr>
              <w:tc>
                <w:tcPr>
                  <w:tcW w:w="3831" w:type="dxa"/>
                </w:tcPr>
                <w:p w14:paraId="0678244E"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Políticas del Régimen </w:t>
                  </w:r>
                </w:p>
              </w:tc>
            </w:tr>
            <w:tr w:rsidR="00C11089" w:rsidRPr="00831426" w14:paraId="6A2BCB26" w14:textId="77777777" w:rsidTr="00746AD8">
              <w:trPr>
                <w:trHeight w:val="93"/>
                <w:jc w:val="center"/>
              </w:trPr>
              <w:tc>
                <w:tcPr>
                  <w:tcW w:w="3831" w:type="dxa"/>
                </w:tcPr>
                <w:p w14:paraId="32FE8B1E"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Metodologías de Valoración </w:t>
                  </w:r>
                </w:p>
              </w:tc>
            </w:tr>
            <w:tr w:rsidR="00C11089" w:rsidRPr="00831426" w14:paraId="5954FBA3" w14:textId="77777777" w:rsidTr="00746AD8">
              <w:trPr>
                <w:trHeight w:val="93"/>
                <w:jc w:val="center"/>
              </w:trPr>
              <w:tc>
                <w:tcPr>
                  <w:tcW w:w="3831" w:type="dxa"/>
                </w:tcPr>
                <w:p w14:paraId="2D1D550F"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Contratos de servicios recibidos </w:t>
                  </w:r>
                </w:p>
              </w:tc>
            </w:tr>
            <w:tr w:rsidR="00C11089" w:rsidRPr="00831426" w14:paraId="267F2502" w14:textId="77777777" w:rsidTr="00746AD8">
              <w:trPr>
                <w:trHeight w:val="93"/>
                <w:jc w:val="center"/>
              </w:trPr>
              <w:tc>
                <w:tcPr>
                  <w:tcW w:w="3831" w:type="dxa"/>
                </w:tcPr>
                <w:p w14:paraId="2C46783A"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Estructura organizacional de la entidad </w:t>
                  </w:r>
                </w:p>
              </w:tc>
            </w:tr>
            <w:tr w:rsidR="00C11089" w:rsidRPr="00831426" w14:paraId="14F78FC2" w14:textId="77777777" w:rsidTr="00746AD8">
              <w:trPr>
                <w:trHeight w:val="93"/>
                <w:jc w:val="center"/>
              </w:trPr>
              <w:tc>
                <w:tcPr>
                  <w:tcW w:w="3831" w:type="dxa"/>
                </w:tcPr>
                <w:p w14:paraId="76BB92B1" w14:textId="77777777" w:rsidR="00C11089" w:rsidRPr="00831426" w:rsidRDefault="00C11089" w:rsidP="00C11089">
                  <w:pPr>
                    <w:pStyle w:val="Default"/>
                    <w:rPr>
                      <w:rFonts w:ascii="Arial Narrow" w:hAnsi="Arial Narrow"/>
                      <w:sz w:val="16"/>
                      <w:szCs w:val="16"/>
                    </w:rPr>
                  </w:pPr>
                  <w:r w:rsidRPr="00831426">
                    <w:rPr>
                      <w:rFonts w:ascii="Arial Narrow" w:hAnsi="Arial Narrow"/>
                      <w:sz w:val="16"/>
                      <w:szCs w:val="16"/>
                    </w:rPr>
                    <w:t xml:space="preserve">Estudios Actuariales </w:t>
                  </w:r>
                </w:p>
              </w:tc>
            </w:tr>
          </w:tbl>
          <w:p w14:paraId="7852B7E6" w14:textId="77777777" w:rsidR="00C11089" w:rsidRPr="00210DD7" w:rsidRDefault="00C11089" w:rsidP="00C11089">
            <w:pPr>
              <w:jc w:val="both"/>
              <w:rPr>
                <w:rFonts w:ascii="Arial Narrow" w:hAnsi="Arial Narrow" w:cs="Arial"/>
                <w:bCs/>
                <w:sz w:val="16"/>
                <w:szCs w:val="16"/>
                <w:lang w:val="es-CR"/>
              </w:rPr>
            </w:pPr>
          </w:p>
          <w:p w14:paraId="1865FC20"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lastRenderedPageBreak/>
              <w:t>La carga inicial de esta información ha sido ingresada por funcionarios de esta Superintendencia con base en las comunicaciones que oportunamente han sido recibidas por las entidades supervisadas. Posteriormente, las entidades deben validar la información incluida en la carga inicial y mantenerla actualizada en el Sistema cada vez que ocurra un cambio en los datos, respetando los plazos establecidos en la normativa vigente para su comunicación.</w:t>
            </w:r>
          </w:p>
          <w:p w14:paraId="1B861DFC"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Asimismo, para los casos en que la normativa vigente así lo requiera, debe informar a esta Superintendencia mediante oficio de los cambios realizados con la información de respaldo respectiva, hasta tanto se realicen las modificaciones a la misma y se les comunique a las entidades supervisadas.</w:t>
            </w:r>
          </w:p>
          <w:p w14:paraId="03391588"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w:t>
            </w:r>
          </w:p>
          <w:p w14:paraId="252E7922" w14:textId="3FFBB2BC" w:rsidR="00C11089" w:rsidRPr="00A52E59" w:rsidRDefault="00C11089" w:rsidP="00C11089">
            <w:pPr>
              <w:spacing w:after="0" w:line="240" w:lineRule="auto"/>
              <w:jc w:val="both"/>
              <w:rPr>
                <w:rFonts w:ascii="Arial Narrow" w:hAnsi="Arial Narrow" w:cs="Arial"/>
                <w:b/>
                <w:bCs/>
                <w:sz w:val="20"/>
                <w:szCs w:val="20"/>
              </w:rPr>
            </w:pPr>
            <w:r w:rsidRPr="00831426">
              <w:rPr>
                <w:rFonts w:ascii="Arial Narrow" w:hAnsi="Arial Narrow" w:cs="Arial"/>
                <w:bCs/>
                <w:sz w:val="16"/>
                <w:szCs w:val="16"/>
                <w:lang w:val="es-CR"/>
              </w:rPr>
              <w:t>Colateralmente, el Capítulo V, “Sistema de Información Cualitativa Básica de Supervisados”; acápite segundo, “Definición de los datos de las entidades” del “Manual de Información de los Regímenes Colectivos”, en lo que resulta pertinente, establece como tipos de datos, y sus correspondientes estructuras de registros, el Órgano de Dirección; Integrantes</w:t>
            </w:r>
            <w:r>
              <w:rPr>
                <w:rFonts w:ascii="Arial Narrow" w:hAnsi="Arial Narrow" w:cs="Arial"/>
                <w:bCs/>
                <w:sz w:val="16"/>
                <w:szCs w:val="16"/>
                <w:lang w:val="es-CR"/>
              </w:rPr>
              <w:t xml:space="preserve"> de Comité y Auditores externos.</w:t>
            </w:r>
          </w:p>
        </w:tc>
      </w:tr>
      <w:tr w:rsidR="00C11089" w:rsidRPr="00A52E59" w14:paraId="3A0C814A" w14:textId="77777777" w:rsidTr="001A15C6">
        <w:tc>
          <w:tcPr>
            <w:tcW w:w="5244" w:type="dxa"/>
            <w:shd w:val="clear" w:color="auto" w:fill="FFFFFF" w:themeFill="background1"/>
            <w:vAlign w:val="center"/>
          </w:tcPr>
          <w:p w14:paraId="7C24F4F1"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lastRenderedPageBreak/>
              <w:t>5.</w:t>
            </w:r>
            <w:r w:rsidRPr="00831426">
              <w:rPr>
                <w:rFonts w:ascii="Arial Narrow" w:hAnsi="Arial Narrow" w:cs="Arial"/>
                <w:bCs/>
                <w:sz w:val="16"/>
                <w:szCs w:val="16"/>
                <w:lang w:val="es-CR"/>
              </w:rPr>
              <w:tab/>
              <w:t xml:space="preserve">El día 22 de enero de 2018 </w:t>
            </w:r>
            <w:proofErr w:type="gramStart"/>
            <w:r w:rsidRPr="00831426">
              <w:rPr>
                <w:rFonts w:ascii="Arial Narrow" w:hAnsi="Arial Narrow" w:cs="Arial"/>
                <w:bCs/>
                <w:sz w:val="16"/>
                <w:szCs w:val="16"/>
                <w:lang w:val="es-CR"/>
              </w:rPr>
              <w:t>entraron en vigencia</w:t>
            </w:r>
            <w:proofErr w:type="gramEnd"/>
            <w:r w:rsidRPr="00831426">
              <w:rPr>
                <w:rFonts w:ascii="Arial Narrow" w:hAnsi="Arial Narrow" w:cs="Arial"/>
                <w:bCs/>
                <w:sz w:val="16"/>
                <w:szCs w:val="16"/>
                <w:lang w:val="es-CR"/>
              </w:rPr>
              <w:t xml:space="preserve"> las disposiciones del Acuerdo SP-A-194, denominado “Portal Supen Directo, Servicio de Registro y Actualización de Roles”, el cual establece que la información relativa a accionistas, puestos, comités y auditores externos debe ser remitida por las entidades mediante la plataforma Supen Directo. </w:t>
            </w:r>
          </w:p>
          <w:p w14:paraId="30D5CC3F" w14:textId="77777777" w:rsidR="00C11089" w:rsidRPr="00831426" w:rsidRDefault="00C11089" w:rsidP="00C11089">
            <w:pPr>
              <w:jc w:val="both"/>
              <w:rPr>
                <w:rFonts w:ascii="Arial Narrow" w:hAnsi="Arial Narrow" w:cs="Arial"/>
                <w:bCs/>
                <w:sz w:val="16"/>
                <w:szCs w:val="16"/>
                <w:lang w:val="es-CR"/>
              </w:rPr>
            </w:pPr>
          </w:p>
          <w:p w14:paraId="15095FAF"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El artículo 5 del citado Acuerdo, señala, en lo que interesa:</w:t>
            </w:r>
          </w:p>
          <w:p w14:paraId="23A88B67" w14:textId="77777777" w:rsidR="00C11089" w:rsidRPr="00831426" w:rsidRDefault="00C11089" w:rsidP="00C11089">
            <w:pPr>
              <w:jc w:val="both"/>
              <w:rPr>
                <w:rFonts w:ascii="Arial Narrow" w:hAnsi="Arial Narrow" w:cs="Arial"/>
                <w:bCs/>
                <w:sz w:val="16"/>
                <w:szCs w:val="16"/>
                <w:lang w:val="es-CR"/>
              </w:rPr>
            </w:pPr>
          </w:p>
          <w:p w14:paraId="13F8A532"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“Artículo 5. Registro y actualización de roles por función</w:t>
            </w:r>
          </w:p>
          <w:p w14:paraId="44E61A2C"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Sin perjuicio de otros que la SUPEN llegue a establecer con posterioridad, las entidades deberán informar a SUPEN la designación y cese de los siguientes tipos de rol, ya sean permanentes o temporales: i) Órgano de Dirección; ii) Comité de Auditoría; iii) Comité de Riesgos; iv) Comité de Remuneraciones; v) Comité de Nominaciones; vi) Comité de TI; vii) Alta Gerencia; viii) Contable y Financiero; ix) Cumplimiento Legal y Regulatorio;  x) Comité de Cumplimiento;  xi) Cumplimiento de Ley 8204; xii) Tecnologías de Información;  xiii) Estructura Capital; xiv) Auditoría Interna; xv) Dirección de Riesgos; xvi) Puestos Externos; xvii) Comité Inversiones</w:t>
            </w:r>
          </w:p>
          <w:p w14:paraId="4A86EDDD"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La SUPEN podrá realizar ajustes para que se incluyan datos relacionados con la designación de puestos, así como cualquiera otra información que se considere relevante.”</w:t>
            </w:r>
          </w:p>
          <w:p w14:paraId="356015FF" w14:textId="77777777" w:rsidR="00C11089" w:rsidRPr="00831426" w:rsidRDefault="00C11089" w:rsidP="00C11089">
            <w:pPr>
              <w:jc w:val="both"/>
              <w:rPr>
                <w:rFonts w:ascii="Arial Narrow" w:hAnsi="Arial Narrow" w:cs="Arial"/>
                <w:bCs/>
                <w:sz w:val="16"/>
                <w:szCs w:val="16"/>
                <w:lang w:val="es-CR"/>
              </w:rPr>
            </w:pPr>
          </w:p>
          <w:p w14:paraId="592E975C" w14:textId="4238A1E4" w:rsidR="00C11089" w:rsidRPr="00210DD7"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Dado que la estructura del Servicio de Registro y Actualización de Roles, instrumentalizada por medio del citado Acuerdo SP-A-194, incluye información que actualmente remiten las entidades por medio del VES en el Sistema de Información Cualitativa, debe modificarse el Capítulo V del Manual de Información eliminándose los apartados que se refieren a esta misma información, así como deshabilitar del sistema los apartados y validaciones respectivas.</w:t>
            </w:r>
          </w:p>
        </w:tc>
        <w:tc>
          <w:tcPr>
            <w:tcW w:w="5070" w:type="dxa"/>
            <w:shd w:val="clear" w:color="auto" w:fill="FFFFFF" w:themeFill="background1"/>
            <w:vAlign w:val="center"/>
          </w:tcPr>
          <w:p w14:paraId="6B718680" w14:textId="77777777" w:rsidR="00C11089" w:rsidRPr="00A52E59" w:rsidRDefault="00C11089" w:rsidP="00C11089">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7D41D3C8" w14:textId="77777777" w:rsidR="00C11089" w:rsidRPr="00A52E59" w:rsidRDefault="00C11089" w:rsidP="00C11089">
            <w:pPr>
              <w:jc w:val="both"/>
              <w:rPr>
                <w:rFonts w:ascii="Arial Narrow" w:hAnsi="Arial Narrow" w:cs="Arial"/>
                <w:b/>
                <w:bCs/>
                <w:sz w:val="20"/>
                <w:szCs w:val="20"/>
              </w:rPr>
            </w:pPr>
          </w:p>
        </w:tc>
        <w:tc>
          <w:tcPr>
            <w:tcW w:w="5670" w:type="dxa"/>
            <w:shd w:val="clear" w:color="auto" w:fill="FFFFFF" w:themeFill="background1"/>
            <w:vAlign w:val="center"/>
          </w:tcPr>
          <w:p w14:paraId="3604B635"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5.</w:t>
            </w:r>
            <w:r w:rsidRPr="00831426">
              <w:rPr>
                <w:rFonts w:ascii="Arial Narrow" w:hAnsi="Arial Narrow" w:cs="Arial"/>
                <w:bCs/>
                <w:sz w:val="16"/>
                <w:szCs w:val="16"/>
                <w:lang w:val="es-CR"/>
              </w:rPr>
              <w:tab/>
              <w:t xml:space="preserve">El día 22 de enero de 2018 </w:t>
            </w:r>
            <w:proofErr w:type="gramStart"/>
            <w:r w:rsidRPr="00831426">
              <w:rPr>
                <w:rFonts w:ascii="Arial Narrow" w:hAnsi="Arial Narrow" w:cs="Arial"/>
                <w:bCs/>
                <w:sz w:val="16"/>
                <w:szCs w:val="16"/>
                <w:lang w:val="es-CR"/>
              </w:rPr>
              <w:t>entraron en vigencia</w:t>
            </w:r>
            <w:proofErr w:type="gramEnd"/>
            <w:r w:rsidRPr="00831426">
              <w:rPr>
                <w:rFonts w:ascii="Arial Narrow" w:hAnsi="Arial Narrow" w:cs="Arial"/>
                <w:bCs/>
                <w:sz w:val="16"/>
                <w:szCs w:val="16"/>
                <w:lang w:val="es-CR"/>
              </w:rPr>
              <w:t xml:space="preserve"> las disposiciones del Acuerdo SP-A-194, denominado “Portal Supen Directo, Servicio de Registro y Actualización de Roles”, el cual establece que la información relativa a accionistas, puestos, comités y auditores externos debe ser remitida por las entidades mediante la plataforma Supen Directo. </w:t>
            </w:r>
          </w:p>
          <w:p w14:paraId="6DCEECE9" w14:textId="77777777" w:rsidR="00C11089" w:rsidRPr="00831426" w:rsidRDefault="00C11089" w:rsidP="00C11089">
            <w:pPr>
              <w:jc w:val="both"/>
              <w:rPr>
                <w:rFonts w:ascii="Arial Narrow" w:hAnsi="Arial Narrow" w:cs="Arial"/>
                <w:bCs/>
                <w:sz w:val="16"/>
                <w:szCs w:val="16"/>
                <w:lang w:val="es-CR"/>
              </w:rPr>
            </w:pPr>
          </w:p>
          <w:p w14:paraId="3663A8CC"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El artículo 5 del citado Acuerdo, señala, en lo que interesa:</w:t>
            </w:r>
          </w:p>
          <w:p w14:paraId="284F6138" w14:textId="77777777" w:rsidR="00C11089" w:rsidRPr="00831426" w:rsidRDefault="00C11089" w:rsidP="00C11089">
            <w:pPr>
              <w:jc w:val="both"/>
              <w:rPr>
                <w:rFonts w:ascii="Arial Narrow" w:hAnsi="Arial Narrow" w:cs="Arial"/>
                <w:bCs/>
                <w:sz w:val="16"/>
                <w:szCs w:val="16"/>
                <w:lang w:val="es-CR"/>
              </w:rPr>
            </w:pPr>
          </w:p>
          <w:p w14:paraId="08516349"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“Artículo 5. Registro y actualización de roles por función</w:t>
            </w:r>
          </w:p>
          <w:p w14:paraId="355A9501"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Sin perjuicio de otros que la SUPEN llegue a establecer con posterioridad, las entidades deberán informar a SUPEN la designación y cese de los siguientes tipos de rol, ya sean permanentes o temporales: i) Órgano de Dirección; ii) Comité de Auditoría; iii) Comité de Riesgos; iv) Comité de Remuneraciones; v) Comité de Nominaciones; vi) Comité de TI; vii) Alta Gerencia; viii) Contable y Financiero; ix) Cumplimiento Legal y Regulatorio;  x) Comité de Cumplimiento;  xi) Cumplimiento de Ley 8204; xii) Tecnologías de Información;  xiii) Estructura Capital; xiv) Auditoría Interna; xv) Dirección de Riesgos; xvi) Puestos Externos; xvii) Comité Inversiones</w:t>
            </w:r>
          </w:p>
          <w:p w14:paraId="6F1304A7" w14:textId="77777777" w:rsidR="00C11089" w:rsidRPr="00831426" w:rsidRDefault="00C11089" w:rsidP="00C11089">
            <w:pPr>
              <w:jc w:val="both"/>
              <w:rPr>
                <w:rFonts w:ascii="Arial Narrow" w:hAnsi="Arial Narrow" w:cs="Arial"/>
                <w:bCs/>
                <w:sz w:val="16"/>
                <w:szCs w:val="16"/>
                <w:lang w:val="es-CR"/>
              </w:rPr>
            </w:pPr>
            <w:r w:rsidRPr="00831426">
              <w:rPr>
                <w:rFonts w:ascii="Arial Narrow" w:hAnsi="Arial Narrow" w:cs="Arial"/>
                <w:bCs/>
                <w:sz w:val="16"/>
                <w:szCs w:val="16"/>
                <w:lang w:val="es-CR"/>
              </w:rPr>
              <w:t>La SUPEN podrá realizar ajustes para que se incluyan datos relacionados con la designación de puestos, así como cualquiera otra información que se considere relevante.”</w:t>
            </w:r>
          </w:p>
          <w:p w14:paraId="47A66AD6" w14:textId="77777777" w:rsidR="00C11089" w:rsidRPr="00831426" w:rsidRDefault="00C11089" w:rsidP="00C11089">
            <w:pPr>
              <w:jc w:val="both"/>
              <w:rPr>
                <w:rFonts w:ascii="Arial Narrow" w:hAnsi="Arial Narrow" w:cs="Arial"/>
                <w:bCs/>
                <w:sz w:val="16"/>
                <w:szCs w:val="16"/>
                <w:lang w:val="es-CR"/>
              </w:rPr>
            </w:pPr>
          </w:p>
          <w:p w14:paraId="6166A673" w14:textId="565D6A6F" w:rsidR="00C11089" w:rsidRPr="00A52E59" w:rsidRDefault="00C11089" w:rsidP="00C11089">
            <w:pPr>
              <w:spacing w:after="0" w:line="240" w:lineRule="auto"/>
              <w:jc w:val="both"/>
              <w:rPr>
                <w:rFonts w:ascii="Arial Narrow" w:hAnsi="Arial Narrow" w:cs="Arial"/>
                <w:b/>
                <w:bCs/>
                <w:sz w:val="20"/>
                <w:szCs w:val="20"/>
              </w:rPr>
            </w:pPr>
            <w:r w:rsidRPr="00831426">
              <w:rPr>
                <w:rFonts w:ascii="Arial Narrow" w:hAnsi="Arial Narrow" w:cs="Arial"/>
                <w:bCs/>
                <w:sz w:val="16"/>
                <w:szCs w:val="16"/>
                <w:lang w:val="es-CR"/>
              </w:rPr>
              <w:t>Dado que la estructura del Servicio de Registro y Actualización de Roles, instrumentalizada por medio del citado Acuerdo SP-A-194, incluye información que actualmente remiten las entidades por medio del VES en el Sistema de Información Cualitativa, debe modificarse el Capítulo V del Manual de Información eliminándose los apartados que se refieren a esta misma información, así como deshabilitar del sistema los apartados y validaciones respectivas.</w:t>
            </w:r>
          </w:p>
        </w:tc>
      </w:tr>
      <w:tr w:rsidR="00C11089" w:rsidRPr="00A52E59" w14:paraId="07CBF69C" w14:textId="77777777" w:rsidTr="00F83A43">
        <w:tc>
          <w:tcPr>
            <w:tcW w:w="5244" w:type="dxa"/>
            <w:shd w:val="clear" w:color="auto" w:fill="FFFFFF" w:themeFill="background1"/>
            <w:vAlign w:val="center"/>
          </w:tcPr>
          <w:p w14:paraId="49CCDA26" w14:textId="473AF960" w:rsidR="00C11089" w:rsidRPr="00210DD7" w:rsidRDefault="00C11089" w:rsidP="00C11089">
            <w:pPr>
              <w:jc w:val="center"/>
              <w:rPr>
                <w:rFonts w:ascii="Arial Narrow" w:hAnsi="Arial Narrow" w:cs="Arial"/>
                <w:bCs/>
                <w:sz w:val="16"/>
                <w:szCs w:val="16"/>
              </w:rPr>
            </w:pPr>
            <w:r w:rsidRPr="00210DD7">
              <w:rPr>
                <w:rFonts w:ascii="Arial Narrow" w:eastAsia="Times New Roman" w:hAnsi="Arial Narrow"/>
                <w:b/>
                <w:sz w:val="16"/>
                <w:szCs w:val="16"/>
              </w:rPr>
              <w:t>Por Tanto</w:t>
            </w:r>
          </w:p>
        </w:tc>
        <w:tc>
          <w:tcPr>
            <w:tcW w:w="5070" w:type="dxa"/>
            <w:shd w:val="clear" w:color="auto" w:fill="FFFFFF" w:themeFill="background1"/>
            <w:vAlign w:val="center"/>
          </w:tcPr>
          <w:p w14:paraId="52D9BD31" w14:textId="77777777" w:rsidR="00C11089" w:rsidRDefault="00C11089" w:rsidP="00C11089">
            <w:pPr>
              <w:spacing w:after="0" w:line="240" w:lineRule="auto"/>
              <w:jc w:val="both"/>
              <w:rPr>
                <w:rFonts w:ascii="Arial Narrow" w:hAnsi="Arial Narrow" w:cs="Arial"/>
                <w:bCs/>
                <w:sz w:val="20"/>
                <w:szCs w:val="20"/>
              </w:rPr>
            </w:pPr>
          </w:p>
        </w:tc>
        <w:tc>
          <w:tcPr>
            <w:tcW w:w="5529" w:type="dxa"/>
            <w:shd w:val="clear" w:color="auto" w:fill="FFFFFF" w:themeFill="background1"/>
            <w:vAlign w:val="center"/>
          </w:tcPr>
          <w:p w14:paraId="063BF565" w14:textId="77777777" w:rsidR="00C11089" w:rsidRPr="00A52E59" w:rsidRDefault="00C11089" w:rsidP="00C11089">
            <w:pPr>
              <w:jc w:val="both"/>
              <w:rPr>
                <w:rFonts w:ascii="Arial Narrow" w:hAnsi="Arial Narrow" w:cs="Arial"/>
                <w:b/>
                <w:bCs/>
                <w:sz w:val="20"/>
                <w:szCs w:val="20"/>
              </w:rPr>
            </w:pPr>
          </w:p>
        </w:tc>
        <w:tc>
          <w:tcPr>
            <w:tcW w:w="5670" w:type="dxa"/>
            <w:shd w:val="clear" w:color="auto" w:fill="FFFFFF" w:themeFill="background1"/>
            <w:vAlign w:val="center"/>
          </w:tcPr>
          <w:p w14:paraId="4541C915" w14:textId="58C9043B" w:rsidR="00C11089" w:rsidRPr="00A52E59" w:rsidRDefault="00C11089" w:rsidP="00C11089">
            <w:pPr>
              <w:spacing w:after="0" w:line="240" w:lineRule="auto"/>
              <w:jc w:val="center"/>
              <w:rPr>
                <w:rFonts w:ascii="Arial Narrow" w:hAnsi="Arial Narrow" w:cs="Arial"/>
                <w:b/>
                <w:bCs/>
                <w:sz w:val="20"/>
                <w:szCs w:val="20"/>
              </w:rPr>
            </w:pPr>
            <w:r w:rsidRPr="00210DD7">
              <w:rPr>
                <w:rFonts w:ascii="Arial Narrow" w:eastAsia="Times New Roman" w:hAnsi="Arial Narrow"/>
                <w:b/>
                <w:sz w:val="16"/>
                <w:szCs w:val="16"/>
              </w:rPr>
              <w:t>Por Tanto</w:t>
            </w:r>
          </w:p>
        </w:tc>
      </w:tr>
      <w:tr w:rsidR="00C11089" w:rsidRPr="00A52E59" w14:paraId="182DDE69" w14:textId="77777777" w:rsidTr="00F83A43">
        <w:tc>
          <w:tcPr>
            <w:tcW w:w="5244" w:type="dxa"/>
            <w:shd w:val="clear" w:color="auto" w:fill="FFFFFF" w:themeFill="background1"/>
            <w:vAlign w:val="center"/>
          </w:tcPr>
          <w:p w14:paraId="7930CD65" w14:textId="77777777" w:rsidR="00C11089" w:rsidRPr="00831426" w:rsidRDefault="00C11089" w:rsidP="00C11089">
            <w:pPr>
              <w:spacing w:after="230" w:line="249" w:lineRule="auto"/>
              <w:jc w:val="both"/>
              <w:rPr>
                <w:rFonts w:ascii="Arial Narrow" w:hAnsi="Arial Narrow"/>
                <w:sz w:val="20"/>
                <w:szCs w:val="20"/>
              </w:rPr>
            </w:pPr>
            <w:r w:rsidRPr="00831426">
              <w:rPr>
                <w:rFonts w:ascii="Arial Narrow" w:hAnsi="Arial Narrow"/>
                <w:b/>
                <w:sz w:val="20"/>
                <w:szCs w:val="20"/>
              </w:rPr>
              <w:t xml:space="preserve">Primero: </w:t>
            </w:r>
            <w:r w:rsidRPr="00831426">
              <w:rPr>
                <w:rFonts w:ascii="Arial Narrow" w:hAnsi="Arial Narrow"/>
                <w:sz w:val="20"/>
                <w:szCs w:val="20"/>
              </w:rPr>
              <w:t xml:space="preserve">Se modifica </w:t>
            </w:r>
            <w:bookmarkStart w:id="1" w:name="_Hlk520464528"/>
            <w:r w:rsidRPr="00831426">
              <w:rPr>
                <w:rFonts w:ascii="Arial Narrow" w:hAnsi="Arial Narrow"/>
                <w:sz w:val="20"/>
                <w:szCs w:val="20"/>
              </w:rPr>
              <w:t>el Capítulo V, “Sistema de Información Cualitativa Básica de Supervisados”; acápite primero, “Introducción” del “</w:t>
            </w:r>
            <w:r w:rsidRPr="00831426">
              <w:rPr>
                <w:rFonts w:ascii="Arial Narrow" w:eastAsia="Times New Roman" w:hAnsi="Arial Narrow"/>
                <w:i/>
                <w:sz w:val="20"/>
                <w:szCs w:val="20"/>
              </w:rPr>
              <w:t>Manual de Información de los Regímenes Colectivos”</w:t>
            </w:r>
            <w:bookmarkEnd w:id="1"/>
            <w:r w:rsidRPr="00831426">
              <w:rPr>
                <w:rFonts w:ascii="Arial Narrow" w:eastAsia="Times New Roman" w:hAnsi="Arial Narrow"/>
                <w:i/>
                <w:sz w:val="20"/>
                <w:szCs w:val="20"/>
              </w:rPr>
              <w:t xml:space="preserve">, </w:t>
            </w:r>
            <w:r w:rsidRPr="00831426">
              <w:rPr>
                <w:rFonts w:ascii="Arial Narrow" w:hAnsi="Arial Narrow"/>
                <w:sz w:val="20"/>
                <w:szCs w:val="20"/>
              </w:rPr>
              <w:t xml:space="preserve">respecto </w:t>
            </w:r>
            <w:r w:rsidRPr="00831426">
              <w:rPr>
                <w:rFonts w:ascii="Arial Narrow" w:hAnsi="Arial Narrow"/>
                <w:sz w:val="20"/>
                <w:szCs w:val="20"/>
              </w:rPr>
              <w:lastRenderedPageBreak/>
              <w:t>de los requerimientos para el suministro de información cualitativa básica por parte de las entidades supervisadas, eliminándose los siguientes acápites:</w:t>
            </w:r>
          </w:p>
          <w:p w14:paraId="60449A9E"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Puestos del régimen.</w:t>
            </w:r>
          </w:p>
          <w:p w14:paraId="42EC9436"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Órgano de Dirección.</w:t>
            </w:r>
          </w:p>
          <w:p w14:paraId="08FEBC47"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Comités.</w:t>
            </w:r>
          </w:p>
          <w:p w14:paraId="2F89AF69"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Auditores Externos.</w:t>
            </w:r>
          </w:p>
          <w:p w14:paraId="36C07931" w14:textId="77777777" w:rsidR="00C11089" w:rsidRPr="00831426" w:rsidRDefault="00C11089" w:rsidP="00C11089">
            <w:pPr>
              <w:jc w:val="both"/>
              <w:rPr>
                <w:rFonts w:ascii="Arial Narrow" w:hAnsi="Arial Narrow" w:cs="Arial"/>
                <w:bCs/>
                <w:sz w:val="20"/>
                <w:szCs w:val="20"/>
              </w:rPr>
            </w:pPr>
          </w:p>
        </w:tc>
        <w:tc>
          <w:tcPr>
            <w:tcW w:w="5070" w:type="dxa"/>
            <w:shd w:val="clear" w:color="auto" w:fill="FFFFFF" w:themeFill="background1"/>
            <w:vAlign w:val="center"/>
          </w:tcPr>
          <w:p w14:paraId="10F62153" w14:textId="0A989946" w:rsidR="00C11089" w:rsidRPr="007D10CE" w:rsidRDefault="00C11089" w:rsidP="00C11089">
            <w:pPr>
              <w:spacing w:after="0" w:line="240" w:lineRule="auto"/>
              <w:jc w:val="both"/>
              <w:rPr>
                <w:rFonts w:ascii="Arial Narrow" w:hAnsi="Arial Narrow" w:cs="Arial"/>
                <w:bCs/>
                <w:sz w:val="16"/>
                <w:szCs w:val="16"/>
              </w:rPr>
            </w:pPr>
          </w:p>
        </w:tc>
        <w:tc>
          <w:tcPr>
            <w:tcW w:w="5529" w:type="dxa"/>
            <w:shd w:val="clear" w:color="auto" w:fill="FFFFFF" w:themeFill="background1"/>
            <w:vAlign w:val="center"/>
          </w:tcPr>
          <w:p w14:paraId="4D691C6E" w14:textId="3AF51EA2" w:rsidR="00C11089" w:rsidRPr="007D10CE" w:rsidRDefault="00C11089" w:rsidP="00C11089">
            <w:pPr>
              <w:jc w:val="both"/>
              <w:rPr>
                <w:rFonts w:ascii="Arial Narrow" w:hAnsi="Arial Narrow" w:cs="Arial"/>
                <w:bCs/>
                <w:sz w:val="16"/>
                <w:szCs w:val="16"/>
              </w:rPr>
            </w:pPr>
          </w:p>
        </w:tc>
        <w:tc>
          <w:tcPr>
            <w:tcW w:w="5670" w:type="dxa"/>
            <w:shd w:val="clear" w:color="auto" w:fill="FFFFFF" w:themeFill="background1"/>
            <w:vAlign w:val="center"/>
          </w:tcPr>
          <w:p w14:paraId="32B43875" w14:textId="77777777" w:rsidR="00C11089" w:rsidRPr="00831426" w:rsidRDefault="00C11089" w:rsidP="00C11089">
            <w:pPr>
              <w:spacing w:after="230" w:line="249" w:lineRule="auto"/>
              <w:jc w:val="both"/>
              <w:rPr>
                <w:rFonts w:ascii="Arial Narrow" w:hAnsi="Arial Narrow"/>
                <w:sz w:val="20"/>
                <w:szCs w:val="20"/>
              </w:rPr>
            </w:pPr>
            <w:r w:rsidRPr="00831426">
              <w:rPr>
                <w:rFonts w:ascii="Arial Narrow" w:hAnsi="Arial Narrow"/>
                <w:b/>
                <w:sz w:val="20"/>
                <w:szCs w:val="20"/>
              </w:rPr>
              <w:t xml:space="preserve">Primero: </w:t>
            </w:r>
            <w:r w:rsidRPr="00831426">
              <w:rPr>
                <w:rFonts w:ascii="Arial Narrow" w:hAnsi="Arial Narrow"/>
                <w:sz w:val="20"/>
                <w:szCs w:val="20"/>
              </w:rPr>
              <w:t>Se modifica el Capítulo V, “Sistema de Información Cualitativa Básica de Supervisados”; acápite primero, “Introducción” del “</w:t>
            </w:r>
            <w:r w:rsidRPr="00831426">
              <w:rPr>
                <w:rFonts w:ascii="Arial Narrow" w:eastAsia="Times New Roman" w:hAnsi="Arial Narrow"/>
                <w:i/>
                <w:sz w:val="20"/>
                <w:szCs w:val="20"/>
              </w:rPr>
              <w:t xml:space="preserve">Manual de Información de los Regímenes Colectivos”, </w:t>
            </w:r>
            <w:r w:rsidRPr="00831426">
              <w:rPr>
                <w:rFonts w:ascii="Arial Narrow" w:hAnsi="Arial Narrow"/>
                <w:sz w:val="20"/>
                <w:szCs w:val="20"/>
              </w:rPr>
              <w:t xml:space="preserve">respecto de los requerimientos </w:t>
            </w:r>
            <w:r w:rsidRPr="00831426">
              <w:rPr>
                <w:rFonts w:ascii="Arial Narrow" w:hAnsi="Arial Narrow"/>
                <w:sz w:val="20"/>
                <w:szCs w:val="20"/>
              </w:rPr>
              <w:lastRenderedPageBreak/>
              <w:t>para el suministro de información cualitativa básica por parte de las entidades supervisadas, eliminándose los siguientes acápites:</w:t>
            </w:r>
          </w:p>
          <w:p w14:paraId="46E69EFE"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Puestos del régimen.</w:t>
            </w:r>
          </w:p>
          <w:p w14:paraId="186E62D9"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Órgano de Dirección.</w:t>
            </w:r>
          </w:p>
          <w:p w14:paraId="5DD2D9E0"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Comités.</w:t>
            </w:r>
          </w:p>
          <w:p w14:paraId="7CFD454E" w14:textId="77777777" w:rsidR="00C11089" w:rsidRPr="00831426" w:rsidRDefault="00C11089" w:rsidP="00C11089">
            <w:pPr>
              <w:pStyle w:val="Prrafodelista"/>
              <w:numPr>
                <w:ilvl w:val="0"/>
                <w:numId w:val="13"/>
              </w:numPr>
              <w:spacing w:after="230" w:line="249" w:lineRule="auto"/>
              <w:jc w:val="both"/>
              <w:rPr>
                <w:rFonts w:ascii="Arial Narrow" w:hAnsi="Arial Narrow"/>
                <w:sz w:val="20"/>
                <w:szCs w:val="20"/>
              </w:rPr>
            </w:pPr>
            <w:r w:rsidRPr="00831426">
              <w:rPr>
                <w:rFonts w:ascii="Arial Narrow" w:hAnsi="Arial Narrow"/>
                <w:sz w:val="20"/>
                <w:szCs w:val="20"/>
              </w:rPr>
              <w:t>Auditores Externos.</w:t>
            </w:r>
          </w:p>
          <w:p w14:paraId="54749967" w14:textId="77777777" w:rsidR="00C11089" w:rsidRPr="00A52E59" w:rsidRDefault="00C11089" w:rsidP="00C11089">
            <w:pPr>
              <w:spacing w:after="0" w:line="240" w:lineRule="auto"/>
              <w:jc w:val="both"/>
              <w:rPr>
                <w:rFonts w:ascii="Arial Narrow" w:hAnsi="Arial Narrow" w:cs="Arial"/>
                <w:b/>
                <w:bCs/>
                <w:sz w:val="20"/>
                <w:szCs w:val="20"/>
              </w:rPr>
            </w:pPr>
          </w:p>
        </w:tc>
      </w:tr>
      <w:tr w:rsidR="00C11089" w:rsidRPr="00A52E59" w14:paraId="52B3B5FE" w14:textId="77777777" w:rsidTr="00F83A43">
        <w:tc>
          <w:tcPr>
            <w:tcW w:w="5244" w:type="dxa"/>
            <w:shd w:val="clear" w:color="auto" w:fill="FFFFFF" w:themeFill="background1"/>
            <w:vAlign w:val="center"/>
          </w:tcPr>
          <w:p w14:paraId="18803495" w14:textId="77777777" w:rsidR="00C11089" w:rsidRPr="00A54FC4" w:rsidRDefault="00C11089" w:rsidP="00C11089">
            <w:pPr>
              <w:spacing w:after="230" w:line="249" w:lineRule="auto"/>
              <w:jc w:val="both"/>
              <w:rPr>
                <w:rFonts w:ascii="Arial Narrow" w:hAnsi="Arial Narrow"/>
                <w:sz w:val="20"/>
                <w:szCs w:val="20"/>
              </w:rPr>
            </w:pPr>
            <w:r w:rsidRPr="00A54FC4">
              <w:rPr>
                <w:rFonts w:ascii="Arial Narrow" w:hAnsi="Arial Narrow"/>
                <w:b/>
                <w:sz w:val="20"/>
                <w:szCs w:val="20"/>
              </w:rPr>
              <w:lastRenderedPageBreak/>
              <w:t>Segundo:</w:t>
            </w:r>
            <w:r w:rsidRPr="00A54FC4">
              <w:rPr>
                <w:rFonts w:ascii="Arial Narrow" w:hAnsi="Arial Narrow"/>
                <w:sz w:val="20"/>
                <w:szCs w:val="20"/>
              </w:rPr>
              <w:t xml:space="preserve">  Se eliminan del </w:t>
            </w:r>
            <w:bookmarkStart w:id="2" w:name="_Hlk520465063"/>
            <w:r w:rsidRPr="00A54FC4">
              <w:rPr>
                <w:rFonts w:ascii="Arial Narrow" w:hAnsi="Arial Narrow"/>
                <w:sz w:val="20"/>
                <w:szCs w:val="20"/>
              </w:rPr>
              <w:t>Capítulo V, “Sistema de Información Cualitativa Básica de Supervisados”; acápite segundo, “Definición de los datos de las entidades” del “Manual de Información de los Regímenes Colectivos”</w:t>
            </w:r>
            <w:bookmarkEnd w:id="2"/>
            <w:r w:rsidRPr="00A54FC4">
              <w:rPr>
                <w:rFonts w:ascii="Arial Narrow" w:eastAsia="Times New Roman" w:hAnsi="Arial Narrow"/>
                <w:i/>
                <w:sz w:val="20"/>
                <w:szCs w:val="20"/>
              </w:rPr>
              <w:t xml:space="preserve">, </w:t>
            </w:r>
            <w:r w:rsidRPr="00A54FC4">
              <w:rPr>
                <w:rFonts w:ascii="Arial Narrow" w:hAnsi="Arial Narrow"/>
                <w:sz w:val="20"/>
                <w:szCs w:val="20"/>
              </w:rPr>
              <w:t>los siguientes tipos de datos, y sus correspondientes estructuras de registros:</w:t>
            </w:r>
          </w:p>
          <w:p w14:paraId="096DE790"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 xml:space="preserve">Puestos administrativos y auxiliares de supervisión. </w:t>
            </w:r>
          </w:p>
          <w:p w14:paraId="585931F6"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 xml:space="preserve">Órgano de Dirección. </w:t>
            </w:r>
          </w:p>
          <w:p w14:paraId="70DEA279"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Integrantes de Comité.</w:t>
            </w:r>
          </w:p>
          <w:p w14:paraId="280C02AE"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Auditores externos</w:t>
            </w:r>
          </w:p>
          <w:p w14:paraId="32BA1B64" w14:textId="77777777" w:rsidR="00C11089" w:rsidRPr="00210DD7" w:rsidRDefault="00C11089" w:rsidP="00C11089">
            <w:pPr>
              <w:jc w:val="both"/>
              <w:rPr>
                <w:rFonts w:ascii="Arial Narrow" w:hAnsi="Arial Narrow" w:cs="Arial"/>
                <w:bCs/>
                <w:sz w:val="16"/>
                <w:szCs w:val="16"/>
              </w:rPr>
            </w:pPr>
          </w:p>
        </w:tc>
        <w:tc>
          <w:tcPr>
            <w:tcW w:w="5070" w:type="dxa"/>
            <w:shd w:val="clear" w:color="auto" w:fill="FFFFFF" w:themeFill="background1"/>
            <w:vAlign w:val="center"/>
          </w:tcPr>
          <w:p w14:paraId="28B99C7A" w14:textId="723002F8" w:rsidR="00C11089" w:rsidRPr="007D10CE" w:rsidRDefault="00C11089" w:rsidP="00C11089">
            <w:pPr>
              <w:spacing w:after="0" w:line="240" w:lineRule="auto"/>
              <w:jc w:val="both"/>
              <w:rPr>
                <w:rFonts w:ascii="Arial Narrow" w:hAnsi="Arial Narrow" w:cs="Arial"/>
                <w:bCs/>
                <w:sz w:val="16"/>
                <w:szCs w:val="16"/>
                <w:lang w:val="es-CR"/>
              </w:rPr>
            </w:pPr>
          </w:p>
        </w:tc>
        <w:tc>
          <w:tcPr>
            <w:tcW w:w="5529" w:type="dxa"/>
            <w:shd w:val="clear" w:color="auto" w:fill="FFFFFF" w:themeFill="background1"/>
            <w:vAlign w:val="center"/>
          </w:tcPr>
          <w:p w14:paraId="73B4C34B" w14:textId="68A50318" w:rsidR="00C11089" w:rsidRPr="00A52E59" w:rsidRDefault="00C11089" w:rsidP="00C11089">
            <w:pPr>
              <w:jc w:val="both"/>
              <w:rPr>
                <w:rFonts w:ascii="Arial Narrow" w:hAnsi="Arial Narrow" w:cs="Arial"/>
                <w:b/>
                <w:bCs/>
                <w:sz w:val="20"/>
                <w:szCs w:val="20"/>
              </w:rPr>
            </w:pPr>
          </w:p>
        </w:tc>
        <w:tc>
          <w:tcPr>
            <w:tcW w:w="5670" w:type="dxa"/>
            <w:shd w:val="clear" w:color="auto" w:fill="FFFFFF" w:themeFill="background1"/>
            <w:vAlign w:val="center"/>
          </w:tcPr>
          <w:p w14:paraId="1B58C6DC" w14:textId="77777777" w:rsidR="00C11089" w:rsidRPr="00A54FC4" w:rsidRDefault="00C11089" w:rsidP="00C11089">
            <w:pPr>
              <w:spacing w:after="230" w:line="249" w:lineRule="auto"/>
              <w:jc w:val="both"/>
              <w:rPr>
                <w:rFonts w:ascii="Arial Narrow" w:hAnsi="Arial Narrow"/>
                <w:sz w:val="20"/>
                <w:szCs w:val="20"/>
              </w:rPr>
            </w:pPr>
            <w:r w:rsidRPr="00A54FC4">
              <w:rPr>
                <w:rFonts w:ascii="Arial Narrow" w:hAnsi="Arial Narrow"/>
                <w:b/>
                <w:sz w:val="20"/>
                <w:szCs w:val="20"/>
              </w:rPr>
              <w:t>Segundo:</w:t>
            </w:r>
            <w:r w:rsidRPr="00A54FC4">
              <w:rPr>
                <w:rFonts w:ascii="Arial Narrow" w:hAnsi="Arial Narrow"/>
                <w:sz w:val="20"/>
                <w:szCs w:val="20"/>
              </w:rPr>
              <w:t xml:space="preserve">  Se eliminan del Capítulo V, “Sistema de Información Cualitativa Básica de Supervisados”; acápite segundo, “Definición de los datos de las entidades” del “Manual de Información de los Regímenes Colectivos”</w:t>
            </w:r>
            <w:r w:rsidRPr="00A54FC4">
              <w:rPr>
                <w:rFonts w:ascii="Arial Narrow" w:eastAsia="Times New Roman" w:hAnsi="Arial Narrow"/>
                <w:i/>
                <w:sz w:val="20"/>
                <w:szCs w:val="20"/>
              </w:rPr>
              <w:t xml:space="preserve">, </w:t>
            </w:r>
            <w:r w:rsidRPr="00A54FC4">
              <w:rPr>
                <w:rFonts w:ascii="Arial Narrow" w:hAnsi="Arial Narrow"/>
                <w:sz w:val="20"/>
                <w:szCs w:val="20"/>
              </w:rPr>
              <w:t>los siguientes tipos de datos, y sus correspondientes estructuras de registros:</w:t>
            </w:r>
          </w:p>
          <w:p w14:paraId="37D1B3C6"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 xml:space="preserve">Puestos administrativos y auxiliares de supervisión. </w:t>
            </w:r>
          </w:p>
          <w:p w14:paraId="02EA8235"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 xml:space="preserve">Órgano de Dirección. </w:t>
            </w:r>
          </w:p>
          <w:p w14:paraId="7991E578"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Integrantes de Comité.</w:t>
            </w:r>
          </w:p>
          <w:p w14:paraId="6D1D31F7" w14:textId="77777777" w:rsidR="00C11089" w:rsidRPr="00A54FC4" w:rsidRDefault="00C11089" w:rsidP="00C11089">
            <w:pPr>
              <w:numPr>
                <w:ilvl w:val="0"/>
                <w:numId w:val="13"/>
              </w:numPr>
              <w:spacing w:after="230" w:line="249" w:lineRule="auto"/>
              <w:contextualSpacing/>
              <w:jc w:val="both"/>
              <w:rPr>
                <w:rFonts w:ascii="Arial Narrow" w:hAnsi="Arial Narrow"/>
                <w:sz w:val="20"/>
                <w:szCs w:val="20"/>
              </w:rPr>
            </w:pPr>
            <w:r w:rsidRPr="00A54FC4">
              <w:rPr>
                <w:rFonts w:ascii="Arial Narrow" w:hAnsi="Arial Narrow"/>
                <w:sz w:val="20"/>
                <w:szCs w:val="20"/>
              </w:rPr>
              <w:t>Auditores externos</w:t>
            </w:r>
          </w:p>
          <w:p w14:paraId="78B4FF51" w14:textId="77777777" w:rsidR="00C11089" w:rsidRPr="00A52E59" w:rsidRDefault="00C11089" w:rsidP="00C11089">
            <w:pPr>
              <w:spacing w:after="0" w:line="240" w:lineRule="auto"/>
              <w:jc w:val="both"/>
              <w:rPr>
                <w:rFonts w:ascii="Arial Narrow" w:hAnsi="Arial Narrow" w:cs="Arial"/>
                <w:b/>
                <w:bCs/>
                <w:sz w:val="20"/>
                <w:szCs w:val="20"/>
              </w:rPr>
            </w:pPr>
          </w:p>
        </w:tc>
      </w:tr>
      <w:tr w:rsidR="007D10CE" w:rsidRPr="00A52E59" w14:paraId="25D51D34" w14:textId="77777777" w:rsidTr="000212AA">
        <w:tc>
          <w:tcPr>
            <w:tcW w:w="5244" w:type="dxa"/>
            <w:shd w:val="clear" w:color="auto" w:fill="FFFFFF" w:themeFill="background1"/>
            <w:vAlign w:val="center"/>
          </w:tcPr>
          <w:p w14:paraId="0E9BD301" w14:textId="77777777" w:rsidR="007D10CE" w:rsidRPr="00210DD7" w:rsidRDefault="007D10CE" w:rsidP="007D10CE">
            <w:pPr>
              <w:rPr>
                <w:rFonts w:ascii="Arial Narrow" w:hAnsi="Arial Narrow" w:cs="Arial"/>
                <w:b/>
                <w:bCs/>
                <w:sz w:val="16"/>
                <w:szCs w:val="16"/>
              </w:rPr>
            </w:pPr>
          </w:p>
          <w:p w14:paraId="0AFA7F1F" w14:textId="7EBAE69B" w:rsidR="007D10CE" w:rsidRPr="00210DD7" w:rsidRDefault="007D10CE" w:rsidP="007D10CE">
            <w:pPr>
              <w:rPr>
                <w:rFonts w:ascii="Arial Narrow" w:hAnsi="Arial Narrow" w:cs="Arial"/>
                <w:b/>
                <w:bCs/>
                <w:sz w:val="16"/>
                <w:szCs w:val="16"/>
              </w:rPr>
            </w:pPr>
            <w:r w:rsidRPr="00210DD7">
              <w:rPr>
                <w:rFonts w:ascii="Arial Narrow" w:hAnsi="Arial Narrow" w:cs="Arial"/>
                <w:b/>
                <w:bCs/>
                <w:sz w:val="16"/>
                <w:szCs w:val="16"/>
              </w:rPr>
              <w:t>Rige a partir del 30 de setiembre de 2018.</w:t>
            </w:r>
          </w:p>
          <w:p w14:paraId="46EB6CC0" w14:textId="77777777" w:rsidR="007D10CE" w:rsidRPr="00210DD7" w:rsidRDefault="007D10CE" w:rsidP="007D10CE">
            <w:pPr>
              <w:jc w:val="both"/>
              <w:rPr>
                <w:rFonts w:ascii="Arial Narrow" w:hAnsi="Arial Narrow" w:cs="Arial"/>
                <w:b/>
                <w:bCs/>
                <w:sz w:val="16"/>
                <w:szCs w:val="16"/>
              </w:rPr>
            </w:pPr>
          </w:p>
        </w:tc>
        <w:tc>
          <w:tcPr>
            <w:tcW w:w="5070" w:type="dxa"/>
            <w:shd w:val="clear" w:color="auto" w:fill="FFFFFF" w:themeFill="background1"/>
            <w:vAlign w:val="center"/>
          </w:tcPr>
          <w:p w14:paraId="50B7ED32" w14:textId="77777777" w:rsidR="007D10CE" w:rsidRPr="00A52E59" w:rsidRDefault="007D10CE" w:rsidP="007D10CE">
            <w:pPr>
              <w:spacing w:after="0" w:line="240" w:lineRule="auto"/>
              <w:jc w:val="both"/>
              <w:rPr>
                <w:rFonts w:ascii="Arial Narrow" w:hAnsi="Arial Narrow" w:cs="Arial"/>
                <w:b/>
                <w:bCs/>
                <w:sz w:val="20"/>
                <w:szCs w:val="20"/>
              </w:rPr>
            </w:pPr>
          </w:p>
        </w:tc>
        <w:tc>
          <w:tcPr>
            <w:tcW w:w="5529" w:type="dxa"/>
            <w:shd w:val="clear" w:color="auto" w:fill="FFFFFF" w:themeFill="background1"/>
            <w:vAlign w:val="center"/>
          </w:tcPr>
          <w:p w14:paraId="3B138323" w14:textId="77777777" w:rsidR="007D10CE" w:rsidRPr="00A52E59" w:rsidRDefault="007D10CE" w:rsidP="007D10CE">
            <w:pPr>
              <w:rPr>
                <w:rFonts w:ascii="Arial Narrow" w:hAnsi="Arial Narrow" w:cs="Arial"/>
                <w:b/>
                <w:bCs/>
                <w:sz w:val="20"/>
                <w:szCs w:val="20"/>
              </w:rPr>
            </w:pPr>
          </w:p>
        </w:tc>
        <w:tc>
          <w:tcPr>
            <w:tcW w:w="5670" w:type="dxa"/>
            <w:shd w:val="clear" w:color="auto" w:fill="FFFFFF" w:themeFill="background1"/>
          </w:tcPr>
          <w:p w14:paraId="424CA203" w14:textId="77777777" w:rsidR="00C37830" w:rsidRPr="00210DD7" w:rsidRDefault="00C37830" w:rsidP="00C37830">
            <w:pPr>
              <w:rPr>
                <w:rFonts w:ascii="Arial Narrow" w:hAnsi="Arial Narrow" w:cs="Arial"/>
                <w:b/>
                <w:bCs/>
                <w:sz w:val="16"/>
                <w:szCs w:val="16"/>
              </w:rPr>
            </w:pPr>
            <w:r w:rsidRPr="00210DD7">
              <w:rPr>
                <w:rFonts w:ascii="Arial Narrow" w:hAnsi="Arial Narrow" w:cs="Arial"/>
                <w:b/>
                <w:bCs/>
                <w:sz w:val="16"/>
                <w:szCs w:val="16"/>
              </w:rPr>
              <w:t>Rige a partir del 30 de setiembre de 2018.</w:t>
            </w:r>
          </w:p>
          <w:p w14:paraId="769AA5BC" w14:textId="77777777" w:rsidR="007D10CE" w:rsidRPr="00A52E59" w:rsidRDefault="007D10CE" w:rsidP="007D10CE">
            <w:pPr>
              <w:spacing w:after="0" w:line="240" w:lineRule="auto"/>
              <w:jc w:val="both"/>
              <w:rPr>
                <w:rFonts w:ascii="Arial Narrow" w:hAnsi="Arial Narrow" w:cs="Arial"/>
                <w:b/>
                <w:bCs/>
                <w:sz w:val="20"/>
                <w:szCs w:val="20"/>
              </w:rPr>
            </w:pPr>
          </w:p>
        </w:tc>
      </w:tr>
    </w:tbl>
    <w:p w14:paraId="4EFF7D86" w14:textId="77777777" w:rsidR="00154A4B" w:rsidRDefault="00154A4B" w:rsidP="00A52E59">
      <w:pPr>
        <w:jc w:val="both"/>
        <w:rPr>
          <w:rFonts w:ascii="Arial Narrow" w:hAnsi="Arial Narrow"/>
          <w:b/>
          <w:sz w:val="20"/>
          <w:szCs w:val="20"/>
        </w:rPr>
      </w:pPr>
    </w:p>
    <w:p w14:paraId="3A7F58A5" w14:textId="77777777" w:rsidR="00154A4B" w:rsidRDefault="00154A4B" w:rsidP="00A52E59">
      <w:pPr>
        <w:jc w:val="both"/>
        <w:rPr>
          <w:rFonts w:ascii="Arial Narrow" w:hAnsi="Arial Narrow"/>
          <w:b/>
          <w:sz w:val="20"/>
          <w:szCs w:val="20"/>
        </w:rPr>
      </w:pPr>
      <w:bookmarkStart w:id="3" w:name="_GoBack"/>
      <w:bookmarkEnd w:id="3"/>
    </w:p>
    <w:p w14:paraId="4278790C" w14:textId="77777777" w:rsidR="001231DB" w:rsidRDefault="001231DB" w:rsidP="00A52E59">
      <w:pPr>
        <w:jc w:val="both"/>
        <w:rPr>
          <w:rFonts w:ascii="Arial Narrow" w:hAnsi="Arial Narrow"/>
          <w:b/>
          <w:sz w:val="20"/>
          <w:szCs w:val="20"/>
        </w:rPr>
      </w:pPr>
      <w:r>
        <w:rPr>
          <w:rFonts w:ascii="Arial Narrow" w:hAnsi="Arial Narrow"/>
          <w:b/>
          <w:sz w:val="20"/>
          <w:szCs w:val="20"/>
        </w:rPr>
        <w:t>OBSERVACIONES RECIBIDAS:</w:t>
      </w:r>
    </w:p>
    <w:p w14:paraId="779B03BF" w14:textId="072DF6E0" w:rsidR="0084470F" w:rsidRDefault="00A54FC4" w:rsidP="00807778">
      <w:pPr>
        <w:pStyle w:val="Prrafodelista"/>
        <w:numPr>
          <w:ilvl w:val="0"/>
          <w:numId w:val="14"/>
        </w:numPr>
        <w:jc w:val="both"/>
        <w:rPr>
          <w:rFonts w:ascii="Arial Narrow" w:hAnsi="Arial Narrow"/>
          <w:b/>
          <w:sz w:val="20"/>
          <w:szCs w:val="20"/>
        </w:rPr>
      </w:pPr>
      <w:r>
        <w:rPr>
          <w:rFonts w:ascii="Arial Narrow" w:hAnsi="Arial Narrow"/>
          <w:b/>
          <w:sz w:val="20"/>
          <w:szCs w:val="20"/>
        </w:rPr>
        <w:t>Fondo de Garantías y Jubilaciones de los empleados del Banco Nacional [</w:t>
      </w:r>
      <w:bookmarkStart w:id="4" w:name="_Hlk523477073"/>
      <w:r>
        <w:rPr>
          <w:rFonts w:ascii="Arial Narrow" w:hAnsi="Arial Narrow"/>
          <w:b/>
          <w:sz w:val="20"/>
          <w:szCs w:val="20"/>
        </w:rPr>
        <w:t>FGJBN</w:t>
      </w:r>
      <w:bookmarkEnd w:id="4"/>
      <w:r>
        <w:rPr>
          <w:rFonts w:ascii="Arial Narrow" w:hAnsi="Arial Narrow"/>
          <w:b/>
          <w:sz w:val="20"/>
          <w:szCs w:val="20"/>
        </w:rPr>
        <w:t>]</w:t>
      </w:r>
      <w:r w:rsidR="00807778" w:rsidRPr="00807778">
        <w:rPr>
          <w:rFonts w:ascii="Arial Narrow" w:hAnsi="Arial Narrow"/>
          <w:b/>
          <w:sz w:val="20"/>
          <w:szCs w:val="20"/>
        </w:rPr>
        <w:t xml:space="preserve"> Oficio </w:t>
      </w:r>
      <w:r>
        <w:rPr>
          <w:rFonts w:ascii="Arial Narrow" w:hAnsi="Arial Narrow"/>
          <w:b/>
          <w:sz w:val="20"/>
          <w:szCs w:val="20"/>
        </w:rPr>
        <w:t>FGJ</w:t>
      </w:r>
      <w:r>
        <w:rPr>
          <w:rFonts w:ascii="Arial Narrow" w:hAnsi="Arial Narrow"/>
          <w:b/>
          <w:sz w:val="20"/>
          <w:szCs w:val="20"/>
        </w:rPr>
        <w:t>-</w:t>
      </w:r>
      <w:r>
        <w:rPr>
          <w:rFonts w:ascii="Arial Narrow" w:hAnsi="Arial Narrow"/>
          <w:b/>
          <w:sz w:val="20"/>
          <w:szCs w:val="20"/>
        </w:rPr>
        <w:t>BN</w:t>
      </w:r>
      <w:r>
        <w:rPr>
          <w:rFonts w:ascii="Arial Narrow" w:hAnsi="Arial Narrow"/>
          <w:b/>
          <w:sz w:val="20"/>
          <w:szCs w:val="20"/>
        </w:rPr>
        <w:t xml:space="preserve">-615-2018 22/08/2016 </w:t>
      </w:r>
      <w:r>
        <w:rPr>
          <w:rFonts w:ascii="Arial Narrow" w:hAnsi="Arial Narrow"/>
          <w:b/>
          <w:color w:val="FF0000"/>
          <w:sz w:val="20"/>
          <w:szCs w:val="20"/>
        </w:rPr>
        <w:t>No hay observaciones</w:t>
      </w:r>
    </w:p>
    <w:p w14:paraId="53850132" w14:textId="564800C1" w:rsidR="00E13F05" w:rsidRPr="000A5369" w:rsidRDefault="00C11089" w:rsidP="00C11089">
      <w:pPr>
        <w:pStyle w:val="Prrafodelista"/>
        <w:numPr>
          <w:ilvl w:val="0"/>
          <w:numId w:val="14"/>
        </w:numPr>
        <w:jc w:val="both"/>
        <w:rPr>
          <w:rFonts w:ascii="Arial Narrow" w:hAnsi="Arial Narrow"/>
          <w:b/>
          <w:sz w:val="20"/>
          <w:szCs w:val="20"/>
        </w:rPr>
      </w:pPr>
      <w:r w:rsidRPr="00C11089">
        <w:rPr>
          <w:rFonts w:ascii="Arial Narrow" w:hAnsi="Arial Narrow"/>
          <w:b/>
          <w:sz w:val="20"/>
          <w:szCs w:val="20"/>
        </w:rPr>
        <w:t>Fondo de Garantías y Jubilaciones de los Empleados del Instituto Costarricense de Electricidad</w:t>
      </w:r>
      <w:r w:rsidR="00E13F05">
        <w:rPr>
          <w:rFonts w:ascii="Arial Narrow" w:hAnsi="Arial Narrow"/>
          <w:b/>
          <w:sz w:val="20"/>
          <w:szCs w:val="20"/>
        </w:rPr>
        <w:t xml:space="preserve"> [</w:t>
      </w:r>
      <w:r>
        <w:rPr>
          <w:rFonts w:ascii="Arial Narrow" w:hAnsi="Arial Narrow"/>
          <w:b/>
          <w:sz w:val="20"/>
          <w:szCs w:val="20"/>
        </w:rPr>
        <w:t>FGJICE</w:t>
      </w:r>
      <w:r w:rsidR="00E13F05">
        <w:rPr>
          <w:rFonts w:ascii="Arial Narrow" w:hAnsi="Arial Narrow"/>
          <w:b/>
          <w:sz w:val="20"/>
          <w:szCs w:val="20"/>
        </w:rPr>
        <w:t>]</w:t>
      </w:r>
      <w:r>
        <w:rPr>
          <w:rFonts w:ascii="Arial Narrow" w:hAnsi="Arial Narrow"/>
          <w:b/>
          <w:sz w:val="20"/>
          <w:szCs w:val="20"/>
        </w:rPr>
        <w:t xml:space="preserve"> </w:t>
      </w:r>
      <w:r w:rsidRPr="00807778">
        <w:rPr>
          <w:rFonts w:ascii="Arial Narrow" w:hAnsi="Arial Narrow"/>
          <w:b/>
          <w:sz w:val="20"/>
          <w:szCs w:val="20"/>
        </w:rPr>
        <w:t>Oficio</w:t>
      </w:r>
      <w:r>
        <w:rPr>
          <w:rFonts w:ascii="Arial Narrow" w:hAnsi="Arial Narrow"/>
          <w:b/>
          <w:sz w:val="20"/>
          <w:szCs w:val="20"/>
        </w:rPr>
        <w:t xml:space="preserve"> 2018-08-21 / 0043-0859-2018</w:t>
      </w:r>
      <w:r w:rsidR="00E13F05">
        <w:rPr>
          <w:rFonts w:ascii="Arial Narrow" w:hAnsi="Arial Narrow"/>
          <w:b/>
          <w:sz w:val="20"/>
          <w:szCs w:val="20"/>
        </w:rPr>
        <w:t xml:space="preserve"> </w:t>
      </w:r>
      <w:r w:rsidR="0022679B">
        <w:rPr>
          <w:rFonts w:ascii="Arial Narrow" w:hAnsi="Arial Narrow"/>
          <w:b/>
          <w:color w:val="FF0000"/>
          <w:sz w:val="20"/>
          <w:szCs w:val="20"/>
        </w:rPr>
        <w:t>No hay observaciones</w:t>
      </w:r>
    </w:p>
    <w:sectPr w:rsidR="00E13F05" w:rsidRPr="000A5369" w:rsidSect="009F02DE">
      <w:headerReference w:type="default" r:id="rId12"/>
      <w:pgSz w:w="23814" w:h="16840" w:orient="landscape"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227FC" w14:textId="77777777" w:rsidR="004B2C4E" w:rsidRDefault="004B2C4E" w:rsidP="00A52E59">
      <w:pPr>
        <w:spacing w:after="0" w:line="240" w:lineRule="auto"/>
      </w:pPr>
      <w:r>
        <w:separator/>
      </w:r>
    </w:p>
  </w:endnote>
  <w:endnote w:type="continuationSeparator" w:id="0">
    <w:p w14:paraId="2052F152" w14:textId="77777777" w:rsidR="004B2C4E" w:rsidRDefault="004B2C4E" w:rsidP="00A52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EDC4F" w14:textId="77777777" w:rsidR="004B2C4E" w:rsidRDefault="004B2C4E" w:rsidP="00A52E59">
      <w:pPr>
        <w:spacing w:after="0" w:line="240" w:lineRule="auto"/>
      </w:pPr>
      <w:r>
        <w:separator/>
      </w:r>
    </w:p>
  </w:footnote>
  <w:footnote w:type="continuationSeparator" w:id="0">
    <w:p w14:paraId="7ECC97D0" w14:textId="77777777" w:rsidR="004B2C4E" w:rsidRDefault="004B2C4E" w:rsidP="00A52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7ABCD" w14:textId="77777777" w:rsidR="000212AA" w:rsidRDefault="000212AA" w:rsidP="000212AA">
    <w:pPr>
      <w:widowControl w:val="0"/>
      <w:autoSpaceDE w:val="0"/>
      <w:autoSpaceDN w:val="0"/>
      <w:adjustRightInd w:val="0"/>
      <w:jc w:val="center"/>
      <w:rPr>
        <w:rFonts w:ascii="Arial Narrow" w:hAnsi="Arial Narrow" w:cs="Arial"/>
        <w:b/>
        <w:sz w:val="20"/>
        <w:szCs w:val="20"/>
      </w:rPr>
    </w:pPr>
    <w:r>
      <w:rPr>
        <w:rFonts w:ascii="Arial Narrow" w:hAnsi="Arial Narrow" w:cs="Arial"/>
        <w:b/>
        <w:sz w:val="20"/>
        <w:szCs w:val="20"/>
      </w:rPr>
      <w:t xml:space="preserve">Reforma al Manual de Información </w:t>
    </w:r>
    <w:r w:rsidRPr="00A364A2">
      <w:rPr>
        <w:rFonts w:ascii="Arial Narrow" w:hAnsi="Arial Narrow" w:cs="Arial"/>
        <w:b/>
        <w:sz w:val="20"/>
        <w:szCs w:val="20"/>
      </w:rPr>
      <w:t>de Regímenes de Capitalización Individual</w:t>
    </w:r>
  </w:p>
  <w:p w14:paraId="1EC6AB65" w14:textId="0A41002E" w:rsidR="000212AA" w:rsidRPr="00A52E59" w:rsidRDefault="006E3241" w:rsidP="000212AA">
    <w:pPr>
      <w:widowControl w:val="0"/>
      <w:autoSpaceDE w:val="0"/>
      <w:autoSpaceDN w:val="0"/>
      <w:adjustRightInd w:val="0"/>
      <w:jc w:val="center"/>
      <w:rPr>
        <w:rFonts w:ascii="Arial Narrow" w:hAnsi="Arial Narrow" w:cs="Arial"/>
        <w:b/>
        <w:sz w:val="20"/>
        <w:szCs w:val="20"/>
      </w:rPr>
    </w:pPr>
    <w:r w:rsidRPr="006E3241">
      <w:rPr>
        <w:rFonts w:ascii="Arial Narrow" w:hAnsi="Arial Narrow" w:cs="Arial"/>
        <w:b/>
        <w:sz w:val="20"/>
        <w:szCs w:val="20"/>
      </w:rPr>
      <w:t>Capítulo V, “Sistema de Información Cualitativa Básica de Supervisados”; acápite primero, “Introducción” del “Manual de Información de los Regímenes Colectivos”</w:t>
    </w:r>
  </w:p>
  <w:p w14:paraId="16B98BBF" w14:textId="675F6DDD" w:rsidR="000212AA" w:rsidRDefault="000212AA" w:rsidP="000212AA">
    <w:pPr>
      <w:pStyle w:val="Encabezado"/>
      <w:jc w:val="center"/>
    </w:pPr>
    <w:r w:rsidRPr="00A52E59">
      <w:rPr>
        <w:rFonts w:ascii="Arial Narrow" w:hAnsi="Arial Narrow" w:cs="Arial"/>
        <w:b/>
        <w:sz w:val="20"/>
        <w:szCs w:val="20"/>
      </w:rPr>
      <w:t xml:space="preserve">Remitido en consulta mediante oficio SP- </w:t>
    </w:r>
    <w:r w:rsidR="006E3241">
      <w:rPr>
        <w:rFonts w:ascii="Arial Narrow" w:hAnsi="Arial Narrow" w:cs="Arial"/>
        <w:b/>
        <w:sz w:val="20"/>
        <w:szCs w:val="20"/>
      </w:rPr>
      <w:t>0722</w:t>
    </w:r>
    <w:r>
      <w:rPr>
        <w:rFonts w:ascii="Arial Narrow" w:hAnsi="Arial Narrow" w:cs="Arial"/>
        <w:b/>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34A8"/>
    <w:multiLevelType w:val="hybridMultilevel"/>
    <w:tmpl w:val="BB3EA96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7C77AD0"/>
    <w:multiLevelType w:val="hybridMultilevel"/>
    <w:tmpl w:val="5314C0A4"/>
    <w:lvl w:ilvl="0" w:tplc="10222CE8">
      <w:start w:val="1"/>
      <w:numFmt w:val="bullet"/>
      <w:lvlText w:val=""/>
      <w:lvlJc w:val="left"/>
      <w:pPr>
        <w:ind w:left="720" w:hanging="360"/>
      </w:pPr>
      <w:rPr>
        <w:rFonts w:ascii="Symbol" w:hAnsi="Symbol" w:hint="default"/>
        <w:color w:val="17365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072777"/>
    <w:multiLevelType w:val="hybridMultilevel"/>
    <w:tmpl w:val="4EB8596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5F05D55"/>
    <w:multiLevelType w:val="hybridMultilevel"/>
    <w:tmpl w:val="7CA65A0A"/>
    <w:lvl w:ilvl="0" w:tplc="5AD88590">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7067C9"/>
    <w:multiLevelType w:val="hybridMultilevel"/>
    <w:tmpl w:val="EC9CA056"/>
    <w:lvl w:ilvl="0" w:tplc="9FF05B4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A67281"/>
    <w:multiLevelType w:val="hybridMultilevel"/>
    <w:tmpl w:val="2320F856"/>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6" w15:restartNumberingAfterBreak="0">
    <w:nsid w:val="1BAE2159"/>
    <w:multiLevelType w:val="hybridMultilevel"/>
    <w:tmpl w:val="16A059B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4EA60FD"/>
    <w:multiLevelType w:val="hybridMultilevel"/>
    <w:tmpl w:val="64A476AA"/>
    <w:lvl w:ilvl="0" w:tplc="9102973C">
      <w:start w:val="1"/>
      <w:numFmt w:val="lowerLetter"/>
      <w:lvlText w:val="%1)"/>
      <w:lvlJc w:val="left"/>
      <w:pPr>
        <w:ind w:left="-66" w:hanging="36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8" w15:restartNumberingAfterBreak="0">
    <w:nsid w:val="3B892A9A"/>
    <w:multiLevelType w:val="hybridMultilevel"/>
    <w:tmpl w:val="27C8AC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5190BDC"/>
    <w:multiLevelType w:val="hybridMultilevel"/>
    <w:tmpl w:val="D966B33C"/>
    <w:lvl w:ilvl="0" w:tplc="B0E25BB0">
      <w:start w:val="1"/>
      <w:numFmt w:val="decimal"/>
      <w:lvlText w:val="%1."/>
      <w:lvlJc w:val="left"/>
      <w:pPr>
        <w:ind w:left="0" w:firstLine="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8CA39AD"/>
    <w:multiLevelType w:val="hybridMultilevel"/>
    <w:tmpl w:val="CBEA5B30"/>
    <w:lvl w:ilvl="0" w:tplc="00541576">
      <w:start w:val="1"/>
      <w:numFmt w:val="lowerLetter"/>
      <w:suff w:val="nothing"/>
      <w:lvlText w:val="%1)"/>
      <w:lvlJc w:val="left"/>
      <w:pPr>
        <w:ind w:left="0" w:firstLine="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5AC862B6"/>
    <w:multiLevelType w:val="hybridMultilevel"/>
    <w:tmpl w:val="44028B3C"/>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15:restartNumberingAfterBreak="0">
    <w:nsid w:val="614A1A14"/>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78164786"/>
    <w:multiLevelType w:val="hybridMultilevel"/>
    <w:tmpl w:val="10B078C2"/>
    <w:lvl w:ilvl="0" w:tplc="9FF05B44">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9FE5317"/>
    <w:multiLevelType w:val="hybridMultilevel"/>
    <w:tmpl w:val="B4FEEC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6"/>
  </w:num>
  <w:num w:numId="3">
    <w:abstractNumId w:val="14"/>
  </w:num>
  <w:num w:numId="4">
    <w:abstractNumId w:val="13"/>
  </w:num>
  <w:num w:numId="5">
    <w:abstractNumId w:val="4"/>
  </w:num>
  <w:num w:numId="6">
    <w:abstractNumId w:val="10"/>
  </w:num>
  <w:num w:numId="7">
    <w:abstractNumId w:val="7"/>
  </w:num>
  <w:num w:numId="8">
    <w:abstractNumId w:val="1"/>
  </w:num>
  <w:num w:numId="9">
    <w:abstractNumId w:val="3"/>
  </w:num>
  <w:num w:numId="10">
    <w:abstractNumId w:val="8"/>
  </w:num>
  <w:num w:numId="11">
    <w:abstractNumId w:val="12"/>
  </w:num>
  <w:num w:numId="12">
    <w:abstractNumId w:val="9"/>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FA"/>
    <w:rsid w:val="000212AA"/>
    <w:rsid w:val="00036710"/>
    <w:rsid w:val="000966A0"/>
    <w:rsid w:val="000A5369"/>
    <w:rsid w:val="001231DB"/>
    <w:rsid w:val="00132E12"/>
    <w:rsid w:val="00154A4B"/>
    <w:rsid w:val="0017092B"/>
    <w:rsid w:val="001A15D2"/>
    <w:rsid w:val="001B1692"/>
    <w:rsid w:val="001B3987"/>
    <w:rsid w:val="00210DD7"/>
    <w:rsid w:val="002127E7"/>
    <w:rsid w:val="002138B5"/>
    <w:rsid w:val="0022679B"/>
    <w:rsid w:val="002630C2"/>
    <w:rsid w:val="00303361"/>
    <w:rsid w:val="00390148"/>
    <w:rsid w:val="003C7BFA"/>
    <w:rsid w:val="004065CB"/>
    <w:rsid w:val="004B2C4E"/>
    <w:rsid w:val="005979EB"/>
    <w:rsid w:val="00597F2F"/>
    <w:rsid w:val="005C0745"/>
    <w:rsid w:val="005E15A3"/>
    <w:rsid w:val="00617933"/>
    <w:rsid w:val="006325E0"/>
    <w:rsid w:val="006E3241"/>
    <w:rsid w:val="0072105D"/>
    <w:rsid w:val="00797F14"/>
    <w:rsid w:val="007D10CE"/>
    <w:rsid w:val="007D34FD"/>
    <w:rsid w:val="00807778"/>
    <w:rsid w:val="00831426"/>
    <w:rsid w:val="0084470F"/>
    <w:rsid w:val="008D626E"/>
    <w:rsid w:val="0094155D"/>
    <w:rsid w:val="009F02DE"/>
    <w:rsid w:val="00A364A2"/>
    <w:rsid w:val="00A52E59"/>
    <w:rsid w:val="00A54FC4"/>
    <w:rsid w:val="00AB324A"/>
    <w:rsid w:val="00AD2658"/>
    <w:rsid w:val="00B83381"/>
    <w:rsid w:val="00BC08CB"/>
    <w:rsid w:val="00C11089"/>
    <w:rsid w:val="00C37830"/>
    <w:rsid w:val="00C46C67"/>
    <w:rsid w:val="00C91ABD"/>
    <w:rsid w:val="00D03314"/>
    <w:rsid w:val="00D05D3D"/>
    <w:rsid w:val="00D72C2B"/>
    <w:rsid w:val="00DD7C10"/>
    <w:rsid w:val="00E13F05"/>
    <w:rsid w:val="00E26236"/>
    <w:rsid w:val="00EA5F15"/>
    <w:rsid w:val="00EF7C33"/>
    <w:rsid w:val="00F17C54"/>
    <w:rsid w:val="00FB3F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DB57"/>
  <w15:docId w15:val="{B41F1E4F-4529-4EB4-9FFC-E7FDA220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66A0"/>
    <w:rPr>
      <w:rFonts w:ascii="Calibri" w:eastAsia="Calibri" w:hAnsi="Calibri" w:cs="Times New Roman"/>
    </w:rPr>
  </w:style>
  <w:style w:type="paragraph" w:styleId="Ttulo1">
    <w:name w:val="heading 1"/>
    <w:basedOn w:val="Normal"/>
    <w:next w:val="Normal"/>
    <w:link w:val="Ttulo1Car"/>
    <w:uiPriority w:val="9"/>
    <w:qFormat/>
    <w:rsid w:val="003C7BFA"/>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3C7B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semiHidden/>
    <w:unhideWhenUsed/>
    <w:qFormat/>
    <w:rsid w:val="003C7BFA"/>
    <w:pPr>
      <w:spacing w:before="100" w:beforeAutospacing="1" w:after="100" w:afterAutospacing="1" w:line="240" w:lineRule="auto"/>
      <w:outlineLvl w:val="2"/>
    </w:pPr>
    <w:rPr>
      <w:rFonts w:ascii="Times New Roman" w:eastAsia="Times New Roman" w:hAnsi="Times New Roman"/>
      <w:b/>
      <w:bCs/>
      <w:color w:val="666666"/>
      <w:sz w:val="20"/>
      <w:szCs w:val="20"/>
      <w:lang w:eastAsia="es-ES"/>
    </w:rPr>
  </w:style>
  <w:style w:type="paragraph" w:styleId="Ttulo4">
    <w:name w:val="heading 4"/>
    <w:basedOn w:val="Normal"/>
    <w:next w:val="Normal"/>
    <w:link w:val="Ttulo4Car"/>
    <w:uiPriority w:val="9"/>
    <w:semiHidden/>
    <w:unhideWhenUsed/>
    <w:qFormat/>
    <w:rsid w:val="003C7B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7BFA"/>
    <w:rPr>
      <w:rFonts w:asciiTheme="majorHAnsi" w:eastAsiaTheme="majorEastAsia" w:hAnsiTheme="majorHAnsi" w:cstheme="majorBidi"/>
      <w:b/>
      <w:bCs/>
      <w:kern w:val="32"/>
      <w:sz w:val="32"/>
      <w:szCs w:val="32"/>
    </w:rPr>
  </w:style>
  <w:style w:type="character" w:customStyle="1" w:styleId="Ttulo3Car">
    <w:name w:val="Título 3 Car"/>
    <w:basedOn w:val="Fuentedeprrafopredeter"/>
    <w:link w:val="Ttulo3"/>
    <w:semiHidden/>
    <w:rsid w:val="003C7BFA"/>
    <w:rPr>
      <w:rFonts w:ascii="Times New Roman" w:eastAsia="Times New Roman" w:hAnsi="Times New Roman" w:cs="Times New Roman"/>
      <w:b/>
      <w:bCs/>
      <w:color w:val="666666"/>
      <w:sz w:val="20"/>
      <w:szCs w:val="20"/>
      <w:lang w:eastAsia="es-ES"/>
    </w:rPr>
  </w:style>
  <w:style w:type="table" w:styleId="Tablaconcuadrcula">
    <w:name w:val="Table Grid"/>
    <w:basedOn w:val="Tablanormal"/>
    <w:uiPriority w:val="59"/>
    <w:rsid w:val="003C7BFA"/>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C7BFA"/>
    <w:pPr>
      <w:spacing w:after="0" w:line="240" w:lineRule="auto"/>
    </w:pPr>
    <w:rPr>
      <w:rFonts w:ascii="Calibri" w:eastAsia="Calibri" w:hAnsi="Calibri" w:cs="Times New Roman"/>
      <w:lang w:val="en-US"/>
    </w:rPr>
  </w:style>
  <w:style w:type="character" w:styleId="Refdecomentario">
    <w:name w:val="annotation reference"/>
    <w:unhideWhenUsed/>
    <w:rsid w:val="003C7BFA"/>
    <w:rPr>
      <w:sz w:val="16"/>
      <w:szCs w:val="16"/>
    </w:rPr>
  </w:style>
  <w:style w:type="paragraph" w:styleId="Textodeglobo">
    <w:name w:val="Balloon Text"/>
    <w:basedOn w:val="Normal"/>
    <w:link w:val="TextodegloboCar"/>
    <w:uiPriority w:val="99"/>
    <w:semiHidden/>
    <w:unhideWhenUsed/>
    <w:rsid w:val="003C7B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7BFA"/>
    <w:rPr>
      <w:rFonts w:ascii="Tahoma" w:eastAsia="Calibri" w:hAnsi="Tahoma" w:cs="Tahoma"/>
      <w:sz w:val="16"/>
      <w:szCs w:val="16"/>
    </w:rPr>
  </w:style>
  <w:style w:type="paragraph" w:styleId="Prrafodelista">
    <w:name w:val="List Paragraph"/>
    <w:basedOn w:val="Normal"/>
    <w:uiPriority w:val="34"/>
    <w:qFormat/>
    <w:rsid w:val="003C7BFA"/>
    <w:pPr>
      <w:ind w:left="720"/>
      <w:contextualSpacing/>
    </w:pPr>
    <w:rPr>
      <w:lang w:val="es-CR"/>
    </w:rPr>
  </w:style>
  <w:style w:type="paragraph" w:styleId="Textocomentario">
    <w:name w:val="annotation text"/>
    <w:basedOn w:val="Normal"/>
    <w:link w:val="TextocomentarioCar"/>
    <w:uiPriority w:val="99"/>
    <w:semiHidden/>
    <w:unhideWhenUsed/>
    <w:rsid w:val="003C7BFA"/>
    <w:rPr>
      <w:sz w:val="20"/>
      <w:szCs w:val="20"/>
    </w:rPr>
  </w:style>
  <w:style w:type="character" w:customStyle="1" w:styleId="TextocomentarioCar">
    <w:name w:val="Texto comentario Car"/>
    <w:basedOn w:val="Fuentedeprrafopredeter"/>
    <w:link w:val="Textocomentario"/>
    <w:uiPriority w:val="99"/>
    <w:semiHidden/>
    <w:rsid w:val="003C7BFA"/>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C7BFA"/>
    <w:rPr>
      <w:b/>
      <w:bCs/>
    </w:rPr>
  </w:style>
  <w:style w:type="character" w:customStyle="1" w:styleId="AsuntodelcomentarioCar">
    <w:name w:val="Asunto del comentario Car"/>
    <w:basedOn w:val="TextocomentarioCar"/>
    <w:link w:val="Asuntodelcomentario"/>
    <w:uiPriority w:val="99"/>
    <w:semiHidden/>
    <w:rsid w:val="003C7BFA"/>
    <w:rPr>
      <w:rFonts w:ascii="Calibri" w:eastAsia="Calibri" w:hAnsi="Calibri" w:cs="Times New Roman"/>
      <w:b/>
      <w:bCs/>
      <w:sz w:val="20"/>
      <w:szCs w:val="20"/>
    </w:rPr>
  </w:style>
  <w:style w:type="paragraph" w:styleId="Revisin">
    <w:name w:val="Revision"/>
    <w:hidden/>
    <w:uiPriority w:val="99"/>
    <w:semiHidden/>
    <w:rsid w:val="003C7BFA"/>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semiHidden/>
    <w:rsid w:val="003C7BFA"/>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C7BFA"/>
    <w:rPr>
      <w:rFonts w:asciiTheme="majorHAnsi" w:eastAsiaTheme="majorEastAsia" w:hAnsiTheme="majorHAnsi" w:cstheme="majorBidi"/>
      <w:b/>
      <w:bCs/>
      <w:i/>
      <w:iCs/>
      <w:color w:val="4F81BD" w:themeColor="accent1"/>
    </w:rPr>
  </w:style>
  <w:style w:type="character" w:styleId="Refdenotaalpie">
    <w:name w:val="footnote reference"/>
    <w:basedOn w:val="Fuentedeprrafopredeter"/>
    <w:semiHidden/>
    <w:rsid w:val="00A52E59"/>
    <w:rPr>
      <w:vertAlign w:val="superscript"/>
    </w:rPr>
  </w:style>
  <w:style w:type="paragraph" w:styleId="Textonotapie">
    <w:name w:val="footnote text"/>
    <w:basedOn w:val="Normal"/>
    <w:link w:val="TextonotapieCar"/>
    <w:semiHidden/>
    <w:rsid w:val="00A52E59"/>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A52E59"/>
    <w:rPr>
      <w:rFonts w:ascii="Times New Roman" w:eastAsia="Times New Roman" w:hAnsi="Times New Roman" w:cs="Times New Roman"/>
      <w:sz w:val="20"/>
      <w:szCs w:val="20"/>
      <w:lang w:eastAsia="es-ES"/>
    </w:rPr>
  </w:style>
  <w:style w:type="character" w:styleId="Hipervnculo">
    <w:name w:val="Hyperlink"/>
    <w:basedOn w:val="Fuentedeprrafopredeter"/>
    <w:rsid w:val="00A52E59"/>
    <w:rPr>
      <w:color w:val="0000FF"/>
      <w:u w:val="single"/>
    </w:rPr>
  </w:style>
  <w:style w:type="paragraph" w:styleId="Encabezado">
    <w:name w:val="header"/>
    <w:basedOn w:val="Normal"/>
    <w:link w:val="EncabezadoCar"/>
    <w:uiPriority w:val="99"/>
    <w:unhideWhenUsed/>
    <w:rsid w:val="000212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2AA"/>
    <w:rPr>
      <w:rFonts w:ascii="Calibri" w:eastAsia="Calibri" w:hAnsi="Calibri" w:cs="Times New Roman"/>
    </w:rPr>
  </w:style>
  <w:style w:type="paragraph" w:styleId="Piedepgina">
    <w:name w:val="footer"/>
    <w:basedOn w:val="Normal"/>
    <w:link w:val="PiedepginaCar"/>
    <w:uiPriority w:val="99"/>
    <w:unhideWhenUsed/>
    <w:rsid w:val="000212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2AA"/>
    <w:rPr>
      <w:rFonts w:ascii="Calibri" w:eastAsia="Calibri" w:hAnsi="Calibri" w:cs="Times New Roman"/>
    </w:rPr>
  </w:style>
  <w:style w:type="paragraph" w:customStyle="1" w:styleId="Default">
    <w:name w:val="Default"/>
    <w:rsid w:val="00831426"/>
    <w:pPr>
      <w:autoSpaceDE w:val="0"/>
      <w:autoSpaceDN w:val="0"/>
      <w:adjustRightInd w:val="0"/>
      <w:spacing w:after="0" w:line="240" w:lineRule="auto"/>
    </w:pPr>
    <w:rPr>
      <w:rFonts w:ascii="Arial" w:hAnsi="Arial" w:cs="Arial"/>
      <w:color w:val="000000"/>
      <w:sz w:val="24"/>
      <w:szCs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023c09f-40d3-445c-a631-8b45c94c5777">QESUAY3NZYHT-337-29</_dlc_DocId>
    <_dlc_DocIdUrl xmlns="5023c09f-40d3-445c-a631-8b45c94c5777">
      <Url>http://portal/Dependencias/PyN/Proyectos/SufiPatri/_layouts/DocIdRedir.aspx?ID=QESUAY3NZYHT-337-29</Url>
      <Description>QESUAY3NZYHT-337-29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Minuta de Proyecto" ma:contentTypeID="0x0101004160DA49AAA52A4BBCF7BD1B44B8E9EE" ma:contentTypeVersion="0" ma:contentTypeDescription="" ma:contentTypeScope="" ma:versionID="b84e2c637cf47e91a7363d8f239ec136">
  <xsd:schema xmlns:xsd="http://www.w3.org/2001/XMLSchema" xmlns:xs="http://www.w3.org/2001/XMLSchema" xmlns:p="http://schemas.microsoft.com/office/2006/metadata/properties" xmlns:ns2="5023c09f-40d3-445c-a631-8b45c94c5777" targetNamespace="http://schemas.microsoft.com/office/2006/metadata/properties" ma:root="true" ma:fieldsID="c284213e085942cedaaa2c6f89a615c6" ns2:_="">
    <xsd:import namespace="5023c09f-40d3-445c-a631-8b45c94c57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3c09f-40d3-445c-a631-8b45c94c5777"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2BDE0-6A07-4185-98B5-17D3E8624334}">
  <ds:schemaRefs>
    <ds:schemaRef ds:uri="http://schemas.microsoft.com/sharepoint/events"/>
  </ds:schemaRefs>
</ds:datastoreItem>
</file>

<file path=customXml/itemProps2.xml><?xml version="1.0" encoding="utf-8"?>
<ds:datastoreItem xmlns:ds="http://schemas.openxmlformats.org/officeDocument/2006/customXml" ds:itemID="{C96E4930-79B1-498B-81EB-E15ABD1D252A}">
  <ds:schemaRefs>
    <ds:schemaRef ds:uri="http://schemas.microsoft.com/sharepoint/v3/contenttype/forms"/>
  </ds:schemaRefs>
</ds:datastoreItem>
</file>

<file path=customXml/itemProps3.xml><?xml version="1.0" encoding="utf-8"?>
<ds:datastoreItem xmlns:ds="http://schemas.openxmlformats.org/officeDocument/2006/customXml" ds:itemID="{3F30C214-FE31-43BD-AF65-5F3727016929}">
  <ds:schemaRefs>
    <ds:schemaRef ds:uri="http://schemas.microsoft.com/office/2006/metadata/properties"/>
    <ds:schemaRef ds:uri="http://schemas.microsoft.com/office/infopath/2007/PartnerControls"/>
    <ds:schemaRef ds:uri="5023c09f-40d3-445c-a631-8b45c94c5777"/>
  </ds:schemaRefs>
</ds:datastoreItem>
</file>

<file path=customXml/itemProps4.xml><?xml version="1.0" encoding="utf-8"?>
<ds:datastoreItem xmlns:ds="http://schemas.openxmlformats.org/officeDocument/2006/customXml" ds:itemID="{C36E819A-642A-4758-873B-E5950CE88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3c09f-40d3-445c-a631-8b45c94c5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2521CF1-6573-4987-BC91-BD6553D9C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2025</Words>
  <Characters>11139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Matriz observaciones Sp-A-047</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Sp-A-047</dc:title>
  <dc:creator>Gianfranco Rodriguez Bovieri</dc:creator>
  <cp:lastModifiedBy>RODRIGUEZ BOVIERI GIANFRANCO</cp:lastModifiedBy>
  <cp:revision>3</cp:revision>
  <dcterms:created xsi:type="dcterms:W3CDTF">2018-08-31T16:40:00Z</dcterms:created>
  <dcterms:modified xsi:type="dcterms:W3CDTF">2018-08-31T17:15:00Z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0x0101004160DA49AAA52A4BBCF7BD1B44B8E9EE</vt:lpwstr>
  </property>
  <property fmtid="{D5CDD505-2E9C-101B-9397-08002B2CF9AE}" pid="3" name="_dlc_DocIdItemGuid">
    <vt:lpwstr>ba0f43ee-6f90-46c1-a27f-b43af5630101</vt:lpwstr>
  </property>
</Properties>
</file>